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FB06" w14:textId="2F8D7259" w:rsidR="005C7E71" w:rsidRDefault="00925B4C" w:rsidP="00331F5C">
      <w:pPr>
        <w:pStyle w:val="Heading1"/>
        <w:rPr>
          <w:lang w:val="en-US"/>
        </w:rPr>
      </w:pPr>
      <w:r>
        <w:rPr>
          <w:lang w:val="en-US"/>
        </w:rPr>
        <w:t xml:space="preserve">Summary </w:t>
      </w:r>
      <w:r w:rsidR="00A4226C">
        <w:rPr>
          <w:lang w:val="en-US"/>
        </w:rPr>
        <w:t>report on</w:t>
      </w:r>
      <w:r>
        <w:rPr>
          <w:lang w:val="en-US"/>
        </w:rPr>
        <w:t xml:space="preserve"> the 2018</w:t>
      </w:r>
      <w:r w:rsidR="009F24D7" w:rsidRPr="003545E3">
        <w:rPr>
          <w:lang w:val="en-US"/>
        </w:rPr>
        <w:t>-21</w:t>
      </w:r>
      <w:r>
        <w:rPr>
          <w:lang w:val="en-US"/>
        </w:rPr>
        <w:t xml:space="preserve"> </w:t>
      </w:r>
      <w:r w:rsidR="003F47A7">
        <w:rPr>
          <w:lang w:val="en-US"/>
        </w:rPr>
        <w:t>consultation and review of</w:t>
      </w:r>
      <w:r>
        <w:rPr>
          <w:lang w:val="en-US"/>
        </w:rPr>
        <w:t xml:space="preserve"> the</w:t>
      </w:r>
      <w:r w:rsidR="009F24D7" w:rsidRPr="003545E3">
        <w:rPr>
          <w:lang w:val="en-US"/>
        </w:rPr>
        <w:t xml:space="preserve"> Central Queensland Sustainability Strategy 2030</w:t>
      </w:r>
    </w:p>
    <w:p w14:paraId="269990F5" w14:textId="77777777" w:rsidR="00925B4C" w:rsidRPr="00925B4C" w:rsidRDefault="00925B4C" w:rsidP="00925B4C">
      <w:pPr>
        <w:rPr>
          <w:lang w:val="en-US"/>
        </w:rPr>
      </w:pPr>
    </w:p>
    <w:p w14:paraId="0CB06C17" w14:textId="152C1354" w:rsidR="00331F5C" w:rsidRDefault="00925B4C" w:rsidP="00925B4C">
      <w:pPr>
        <w:pStyle w:val="Heading2"/>
        <w:rPr>
          <w:lang w:val="en-US"/>
        </w:rPr>
      </w:pPr>
      <w:r>
        <w:rPr>
          <w:lang w:val="en-US"/>
        </w:rPr>
        <w:t>Introduction</w:t>
      </w:r>
    </w:p>
    <w:p w14:paraId="57D19AE8" w14:textId="2DB74B2D" w:rsidR="00925B4C" w:rsidRPr="00925B4C" w:rsidRDefault="00925B4C" w:rsidP="008A0718">
      <w:pPr>
        <w:pStyle w:val="Default"/>
        <w:spacing w:before="240"/>
        <w:rPr>
          <w:rFonts w:asciiTheme="minorHAnsi" w:hAnsiTheme="minorHAnsi" w:cstheme="minorBidi"/>
          <w:color w:val="auto"/>
          <w:sz w:val="22"/>
          <w:szCs w:val="22"/>
        </w:rPr>
      </w:pPr>
      <w:r w:rsidRPr="00925B4C">
        <w:rPr>
          <w:rFonts w:asciiTheme="minorHAnsi" w:hAnsiTheme="minorHAnsi" w:cstheme="minorBidi"/>
          <w:color w:val="auto"/>
          <w:sz w:val="22"/>
          <w:szCs w:val="22"/>
        </w:rPr>
        <w:t xml:space="preserve">Fitzroy Basin Association (FBA) is part of a national network of Natural Resource Management (NRM) organisations who plan and deliver projects that protect, </w:t>
      </w:r>
      <w:proofErr w:type="gramStart"/>
      <w:r w:rsidRPr="00925B4C">
        <w:rPr>
          <w:rFonts w:asciiTheme="minorHAnsi" w:hAnsiTheme="minorHAnsi" w:cstheme="minorBidi"/>
          <w:color w:val="auto"/>
          <w:sz w:val="22"/>
          <w:szCs w:val="22"/>
        </w:rPr>
        <w:t>rehabilitate</w:t>
      </w:r>
      <w:proofErr w:type="gramEnd"/>
      <w:r w:rsidRPr="00925B4C">
        <w:rPr>
          <w:rFonts w:asciiTheme="minorHAnsi" w:hAnsiTheme="minorHAnsi" w:cstheme="minorBidi"/>
          <w:color w:val="auto"/>
          <w:sz w:val="22"/>
          <w:szCs w:val="22"/>
        </w:rPr>
        <w:t xml:space="preserve"> and promote sustainable use of natural assets. As central Queensland’s leading NRM body, FBA works in partnership with community, </w:t>
      </w:r>
      <w:proofErr w:type="gramStart"/>
      <w:r w:rsidRPr="00925B4C">
        <w:rPr>
          <w:rFonts w:asciiTheme="minorHAnsi" w:hAnsiTheme="minorHAnsi" w:cstheme="minorBidi"/>
          <w:color w:val="auto"/>
          <w:sz w:val="22"/>
          <w:szCs w:val="22"/>
        </w:rPr>
        <w:t>industry</w:t>
      </w:r>
      <w:proofErr w:type="gramEnd"/>
      <w:r w:rsidRPr="00925B4C">
        <w:rPr>
          <w:rFonts w:asciiTheme="minorHAnsi" w:hAnsiTheme="minorHAnsi" w:cstheme="minorBidi"/>
          <w:color w:val="auto"/>
          <w:sz w:val="22"/>
          <w:szCs w:val="22"/>
        </w:rPr>
        <w:t xml:space="preserve"> and government to maintain environmental assets, encourage adoption of best management practices, and protect our Region’s special places and species. </w:t>
      </w:r>
    </w:p>
    <w:p w14:paraId="5821CCCA" w14:textId="175E5D1C" w:rsidR="00925B4C" w:rsidRDefault="00925B4C" w:rsidP="00925B4C">
      <w:r>
        <w:t xml:space="preserve">Since 1997, FBA has been responsible for producing and maintaining a </w:t>
      </w:r>
      <w:r w:rsidR="00E50BC4">
        <w:t>NRM</w:t>
      </w:r>
      <w:r>
        <w:t xml:space="preserve"> plan that is reflective of the unique needs and circumstances of the </w:t>
      </w:r>
      <w:r w:rsidR="00E50BC4">
        <w:t>c</w:t>
      </w:r>
      <w:r>
        <w:t xml:space="preserve">entral Queensland communities within the Fitzroy Basin and surrounding coastal catchments (the Fitzroy </w:t>
      </w:r>
      <w:r w:rsidR="00E50BC4">
        <w:t>r</w:t>
      </w:r>
      <w:r>
        <w:t>egion). This plan is known as the Central Queensland Sustainability Strategy 2030</w:t>
      </w:r>
      <w:r w:rsidR="00E50BC4">
        <w:t xml:space="preserve"> (CQSS2030)</w:t>
      </w:r>
      <w:r>
        <w:t>.</w:t>
      </w:r>
    </w:p>
    <w:p w14:paraId="7D1196EA" w14:textId="42C65AB0" w:rsidR="00A4226C" w:rsidRDefault="00925B4C" w:rsidP="00925B4C">
      <w:r>
        <w:t xml:space="preserve">As a service provider for the Australian and Queensland Governments, FBA reviews the NRM Plan regularly to ensure its alignment with State and National </w:t>
      </w:r>
      <w:r w:rsidR="00E50BC4">
        <w:t xml:space="preserve">environment </w:t>
      </w:r>
      <w:r>
        <w:t xml:space="preserve">priorities and to consider where further value can be achieved. Reviewing the NRM Plan also allows for engagement with key regional stakeholders to ensure the relevance of the Plan for </w:t>
      </w:r>
      <w:r w:rsidR="00815D89">
        <w:t>its</w:t>
      </w:r>
      <w:r>
        <w:t xml:space="preserve"> </w:t>
      </w:r>
      <w:r w:rsidR="00A4226C">
        <w:t>remaining</w:t>
      </w:r>
      <w:r>
        <w:t xml:space="preserve"> lifetime. </w:t>
      </w:r>
    </w:p>
    <w:p w14:paraId="65A324BD" w14:textId="572F1D7D" w:rsidR="00925B4C" w:rsidRDefault="00925B4C" w:rsidP="00925B4C">
      <w:r>
        <w:t>The 2018-21</w:t>
      </w:r>
      <w:r w:rsidR="00E50BC4">
        <w:t xml:space="preserve"> NRM Plan</w:t>
      </w:r>
      <w:r>
        <w:t xml:space="preserve"> review and updates are a</w:t>
      </w:r>
      <w:r w:rsidRPr="00A4226C">
        <w:t xml:space="preserve"> requirement of </w:t>
      </w:r>
      <w:r w:rsidR="00A4226C">
        <w:t xml:space="preserve">and funded by </w:t>
      </w:r>
      <w:r w:rsidRPr="00A4226C">
        <w:t>the Australian Government National Landcare Program - Regional Land Partnerships.</w:t>
      </w:r>
      <w:r w:rsidR="00A4226C" w:rsidRPr="00A4226C">
        <w:t xml:space="preserve"> This summary </w:t>
      </w:r>
      <w:r w:rsidR="00A4226C">
        <w:t xml:space="preserve">report </w:t>
      </w:r>
      <w:r w:rsidR="00A4226C" w:rsidRPr="00A4226C">
        <w:t xml:space="preserve">provides an overview of the </w:t>
      </w:r>
      <w:r w:rsidR="00A4226C">
        <w:t>consultation</w:t>
      </w:r>
      <w:r w:rsidR="00F646D6">
        <w:t xml:space="preserve"> and reviews</w:t>
      </w:r>
      <w:r w:rsidR="00A4226C">
        <w:t xml:space="preserve"> undertaken,</w:t>
      </w:r>
      <w:r w:rsidR="00A4226C" w:rsidRPr="00A4226C">
        <w:t xml:space="preserve"> stakeholders involved</w:t>
      </w:r>
      <w:r w:rsidR="000A3C13">
        <w:t>,</w:t>
      </w:r>
      <w:r w:rsidR="00A4226C" w:rsidRPr="00A4226C">
        <w:t xml:space="preserve"> </w:t>
      </w:r>
      <w:r w:rsidR="00A4226C">
        <w:t xml:space="preserve">and key outcomes </w:t>
      </w:r>
      <w:r w:rsidR="00F40654">
        <w:t>as follows</w:t>
      </w:r>
      <w:r w:rsidR="0094207C">
        <w:t>:</w:t>
      </w:r>
    </w:p>
    <w:p w14:paraId="42A95EF6" w14:textId="07DB5BF8" w:rsidR="00A4226C" w:rsidRDefault="00A4226C" w:rsidP="00A4226C">
      <w:pPr>
        <w:ind w:left="720"/>
      </w:pPr>
      <w:r>
        <w:t xml:space="preserve">1 – </w:t>
      </w:r>
      <w:r w:rsidR="00F40654">
        <w:t>D</w:t>
      </w:r>
      <w:r>
        <w:t>esktop review</w:t>
      </w:r>
    </w:p>
    <w:p w14:paraId="62101FFF" w14:textId="53BB252F" w:rsidR="00A4226C" w:rsidRDefault="00A4226C" w:rsidP="00A4226C">
      <w:pPr>
        <w:ind w:left="720"/>
      </w:pPr>
      <w:r>
        <w:t xml:space="preserve">2 – 2020 </w:t>
      </w:r>
      <w:r w:rsidR="009F3305">
        <w:t xml:space="preserve">regional </w:t>
      </w:r>
      <w:r>
        <w:t>natural assets community survey and report</w:t>
      </w:r>
    </w:p>
    <w:p w14:paraId="7B4D1573" w14:textId="089108CB" w:rsidR="00A4226C" w:rsidRDefault="00A4226C" w:rsidP="00A4226C">
      <w:pPr>
        <w:ind w:left="720"/>
      </w:pPr>
      <w:r>
        <w:t>3 – 2021 technical specialist workshop</w:t>
      </w:r>
    </w:p>
    <w:p w14:paraId="1ECAB630" w14:textId="2A352205" w:rsidR="00A4226C" w:rsidRDefault="00A4226C" w:rsidP="00A4226C">
      <w:pPr>
        <w:ind w:left="720"/>
      </w:pPr>
      <w:r>
        <w:t>4 – First Nations</w:t>
      </w:r>
      <w:r w:rsidR="0094207C">
        <w:t>’</w:t>
      </w:r>
      <w:r>
        <w:t xml:space="preserve"> consultation</w:t>
      </w:r>
    </w:p>
    <w:p w14:paraId="40D137BC" w14:textId="4606DB81" w:rsidR="00A4226C" w:rsidRDefault="00A4226C" w:rsidP="00A4226C">
      <w:pPr>
        <w:ind w:left="720"/>
      </w:pPr>
      <w:r>
        <w:t>5 – Regional council</w:t>
      </w:r>
      <w:r w:rsidR="0094207C">
        <w:t>s’</w:t>
      </w:r>
      <w:r>
        <w:t xml:space="preserve"> consultation</w:t>
      </w:r>
    </w:p>
    <w:p w14:paraId="2517AD4B" w14:textId="43106883" w:rsidR="00A4226C" w:rsidRDefault="00A4226C" w:rsidP="00A4226C">
      <w:pPr>
        <w:ind w:left="720"/>
      </w:pPr>
      <w:r>
        <w:t>6 – Internal F</w:t>
      </w:r>
      <w:r w:rsidR="00540F3E">
        <w:t xml:space="preserve">itzroy </w:t>
      </w:r>
      <w:r>
        <w:t>B</w:t>
      </w:r>
      <w:r w:rsidR="00540F3E">
        <w:t>asin Association</w:t>
      </w:r>
      <w:r>
        <w:t xml:space="preserve"> reviews</w:t>
      </w:r>
    </w:p>
    <w:p w14:paraId="55E7A45C" w14:textId="14273E1C" w:rsidR="00A4226C" w:rsidRDefault="00A4226C" w:rsidP="00A4226C">
      <w:pPr>
        <w:ind w:left="720"/>
      </w:pPr>
      <w:r>
        <w:t xml:space="preserve">7 – Independent </w:t>
      </w:r>
      <w:r w:rsidR="00BC183F">
        <w:t xml:space="preserve">CQSS targets </w:t>
      </w:r>
      <w:r>
        <w:t>review</w:t>
      </w:r>
    </w:p>
    <w:p w14:paraId="21C20BBB" w14:textId="18B6F086" w:rsidR="00A4226C" w:rsidRDefault="00A4226C" w:rsidP="00A4226C">
      <w:pPr>
        <w:ind w:left="720"/>
      </w:pPr>
      <w:r>
        <w:t xml:space="preserve">8 – </w:t>
      </w:r>
      <w:r w:rsidR="00F40654">
        <w:t xml:space="preserve">What next? </w:t>
      </w:r>
      <w:r>
        <w:t>Recommendations from the 2018-21 CQSS 2030 review</w:t>
      </w:r>
    </w:p>
    <w:p w14:paraId="2DBDE61B" w14:textId="693155C0" w:rsidR="00A4226C" w:rsidRDefault="00A4226C" w:rsidP="00925B4C"/>
    <w:p w14:paraId="45703519" w14:textId="77777777" w:rsidR="007D3673" w:rsidRDefault="007D3673">
      <w:pPr>
        <w:rPr>
          <w:rFonts w:asciiTheme="majorHAnsi" w:eastAsiaTheme="majorEastAsia" w:hAnsiTheme="majorHAnsi" w:cstheme="majorBidi"/>
          <w:color w:val="2F5496" w:themeColor="accent1" w:themeShade="BF"/>
          <w:sz w:val="26"/>
          <w:szCs w:val="26"/>
        </w:rPr>
      </w:pPr>
      <w:r>
        <w:br w:type="page"/>
      </w:r>
    </w:p>
    <w:p w14:paraId="67CD632F" w14:textId="64BD0A88" w:rsidR="0094207C" w:rsidRDefault="0094207C" w:rsidP="0094207C">
      <w:pPr>
        <w:pStyle w:val="Heading2"/>
      </w:pPr>
      <w:r>
        <w:lastRenderedPageBreak/>
        <w:t xml:space="preserve">1 – </w:t>
      </w:r>
      <w:r w:rsidR="00F40654">
        <w:t>D</w:t>
      </w:r>
      <w:r>
        <w:t>esktop review</w:t>
      </w:r>
    </w:p>
    <w:p w14:paraId="142AF9E0" w14:textId="1DEF71F5" w:rsidR="0094207C" w:rsidRDefault="00894ACE" w:rsidP="009F3305">
      <w:pPr>
        <w:spacing w:before="240"/>
      </w:pPr>
      <w:r>
        <w:t>This desktop review of primarily publicly available documents was undertaken</w:t>
      </w:r>
      <w:r w:rsidR="009F3305">
        <w:t xml:space="preserve"> in early 2020</w:t>
      </w:r>
      <w:r>
        <w:t xml:space="preserve"> to identify</w:t>
      </w:r>
      <w:r w:rsidR="0094207C">
        <w:t xml:space="preserve"> linkages (and gaps) </w:t>
      </w:r>
      <w:r>
        <w:t xml:space="preserve">between the CQSS2030 </w:t>
      </w:r>
      <w:r w:rsidR="005A1DB2">
        <w:t>and</w:t>
      </w:r>
      <w:r w:rsidR="0094207C">
        <w:t xml:space="preserve"> </w:t>
      </w:r>
      <w:r>
        <w:t>global, federal, state</w:t>
      </w:r>
      <w:r w:rsidR="007D3673">
        <w:t>, regional and local</w:t>
      </w:r>
      <w:r>
        <w:t xml:space="preserve"> </w:t>
      </w:r>
      <w:r w:rsidR="0094207C">
        <w:t xml:space="preserve">priorities </w:t>
      </w:r>
      <w:r>
        <w:t xml:space="preserve">including matters of outstanding universal values, and matters of National, </w:t>
      </w:r>
      <w:proofErr w:type="gramStart"/>
      <w:r>
        <w:t>State</w:t>
      </w:r>
      <w:proofErr w:type="gramEnd"/>
      <w:r>
        <w:t xml:space="preserve"> and local environmental significance. </w:t>
      </w:r>
      <w:r w:rsidR="00DF205D">
        <w:t xml:space="preserve">Undertaken by a private contractor </w:t>
      </w:r>
      <w:r w:rsidR="00F40654">
        <w:t>and then reviewed by FBA staff</w:t>
      </w:r>
      <w:r w:rsidR="00DF205D">
        <w:t>, th</w:t>
      </w:r>
      <w:r w:rsidR="00F40654">
        <w:t>is</w:t>
      </w:r>
      <w:r w:rsidR="00DF205D">
        <w:t xml:space="preserve"> </w:t>
      </w:r>
      <w:r>
        <w:t>desktop review result</w:t>
      </w:r>
      <w:r w:rsidR="00DF205D">
        <w:t>ed</w:t>
      </w:r>
      <w:r>
        <w:t xml:space="preserve"> in </w:t>
      </w:r>
      <w:r w:rsidR="0026163C">
        <w:t>three</w:t>
      </w:r>
      <w:r>
        <w:t xml:space="preserve"> key outputs</w:t>
      </w:r>
      <w:r w:rsidR="005A1DB2">
        <w:t xml:space="preserve"> </w:t>
      </w:r>
      <w:r w:rsidR="0026163C">
        <w:t>to inform</w:t>
      </w:r>
      <w:r w:rsidR="005A1DB2">
        <w:t xml:space="preserve"> the 2021 revision and updates </w:t>
      </w:r>
      <w:r w:rsidR="00F40654">
        <w:t>to</w:t>
      </w:r>
      <w:r w:rsidR="005A1DB2">
        <w:t xml:space="preserve"> CQSS2030. The </w:t>
      </w:r>
      <w:r w:rsidR="0026163C">
        <w:t>three</w:t>
      </w:r>
      <w:r w:rsidR="00E50BC4">
        <w:t xml:space="preserve"> identified</w:t>
      </w:r>
      <w:r w:rsidR="005A1DB2">
        <w:t xml:space="preserve"> key outputs were:</w:t>
      </w:r>
    </w:p>
    <w:p w14:paraId="5BDEEE70" w14:textId="4EE392B5" w:rsidR="0026163C" w:rsidRDefault="00DF205D" w:rsidP="0026163C">
      <w:pPr>
        <w:pStyle w:val="ListParagraph"/>
        <w:numPr>
          <w:ilvl w:val="0"/>
          <w:numId w:val="10"/>
        </w:numPr>
        <w:spacing w:before="240"/>
      </w:pPr>
      <w:bookmarkStart w:id="0" w:name="_Hlk81307244"/>
      <w:r>
        <w:t>A map of CQSS2030’s alignment with key Australian and Queensland government priorities</w:t>
      </w:r>
      <w:r w:rsidR="0026163C">
        <w:t>.</w:t>
      </w:r>
    </w:p>
    <w:p w14:paraId="0B80076B" w14:textId="77777777" w:rsidR="0026163C" w:rsidRDefault="0026163C" w:rsidP="0026163C">
      <w:pPr>
        <w:pStyle w:val="ListParagraph"/>
        <w:spacing w:before="240"/>
      </w:pPr>
    </w:p>
    <w:p w14:paraId="2C5B77F6" w14:textId="126E2DCF" w:rsidR="009F3305" w:rsidRDefault="00DF205D" w:rsidP="0026163C">
      <w:pPr>
        <w:pStyle w:val="ListParagraph"/>
        <w:numPr>
          <w:ilvl w:val="0"/>
          <w:numId w:val="10"/>
        </w:numPr>
        <w:spacing w:before="240"/>
      </w:pPr>
      <w:r>
        <w:t xml:space="preserve">A preliminary map of CQSS2030’s alignment with relevant strategies, plans, policies, acts and international </w:t>
      </w:r>
      <w:r w:rsidR="007D3673">
        <w:t>documents relating to both the natural environment and human dimensions</w:t>
      </w:r>
      <w:r w:rsidR="0026163C">
        <w:t>.</w:t>
      </w:r>
      <w:r w:rsidR="007D3673">
        <w:t xml:space="preserve"> </w:t>
      </w:r>
    </w:p>
    <w:p w14:paraId="27E01FFD" w14:textId="77777777" w:rsidR="0026163C" w:rsidRDefault="0026163C" w:rsidP="0026163C">
      <w:pPr>
        <w:pStyle w:val="ListParagraph"/>
        <w:spacing w:before="240"/>
      </w:pPr>
    </w:p>
    <w:p w14:paraId="37D67C0A" w14:textId="22FEBA13" w:rsidR="00DF205D" w:rsidRDefault="00DF205D" w:rsidP="0026163C">
      <w:pPr>
        <w:pStyle w:val="ListParagraph"/>
        <w:numPr>
          <w:ilvl w:val="0"/>
          <w:numId w:val="10"/>
        </w:numPr>
        <w:spacing w:before="240"/>
      </w:pPr>
      <w:r>
        <w:t>Recommendations to improve the useability</w:t>
      </w:r>
      <w:r w:rsidR="007D3673">
        <w:t xml:space="preserve">, </w:t>
      </w:r>
      <w:r w:rsidR="00ED4A1A">
        <w:t>accessibility,</w:t>
      </w:r>
      <w:r>
        <w:t xml:space="preserve"> </w:t>
      </w:r>
      <w:r w:rsidR="007D3673">
        <w:t xml:space="preserve">and relevance </w:t>
      </w:r>
      <w:r>
        <w:t>of the CQSS2030</w:t>
      </w:r>
      <w:r w:rsidR="007D3673">
        <w:t xml:space="preserve"> in consideration of multiple stakeholder</w:t>
      </w:r>
      <w:r w:rsidR="005A1DB2">
        <w:t>s for multiple purposes</w:t>
      </w:r>
      <w:r w:rsidR="0026163C">
        <w:t>.</w:t>
      </w:r>
    </w:p>
    <w:bookmarkEnd w:id="0"/>
    <w:p w14:paraId="5E976D4A" w14:textId="58D76644" w:rsidR="0026163C" w:rsidRPr="00CE3B3C" w:rsidRDefault="0026163C" w:rsidP="0026163C">
      <w:pPr>
        <w:spacing w:before="240"/>
        <w:rPr>
          <w:color w:val="000000" w:themeColor="text1"/>
        </w:rPr>
      </w:pPr>
      <w:r w:rsidRPr="00CE3B3C">
        <w:rPr>
          <w:b/>
          <w:bCs/>
          <w:color w:val="000000" w:themeColor="text1"/>
        </w:rPr>
        <w:t xml:space="preserve">Appendix </w:t>
      </w:r>
      <w:r>
        <w:rPr>
          <w:b/>
          <w:bCs/>
          <w:color w:val="000000" w:themeColor="text1"/>
        </w:rPr>
        <w:t>A</w:t>
      </w:r>
      <w:r w:rsidRPr="00CE3B3C">
        <w:rPr>
          <w:b/>
          <w:bCs/>
          <w:color w:val="000000" w:themeColor="text1"/>
        </w:rPr>
        <w:t xml:space="preserve"> </w:t>
      </w:r>
      <w:r>
        <w:rPr>
          <w:color w:val="000000" w:themeColor="text1"/>
        </w:rPr>
        <w:t>contains excerpts from the review which expand on the three identified outputs above.</w:t>
      </w:r>
      <w:r w:rsidRPr="00CE3B3C">
        <w:rPr>
          <w:color w:val="000000" w:themeColor="text1"/>
        </w:rPr>
        <w:t xml:space="preserve"> </w:t>
      </w:r>
      <w:r>
        <w:rPr>
          <w:color w:val="000000" w:themeColor="text1"/>
        </w:rPr>
        <w:t xml:space="preserve">Requests for a full copy of the </w:t>
      </w:r>
      <w:r w:rsidR="00DF7C8F">
        <w:rPr>
          <w:color w:val="000000" w:themeColor="text1"/>
        </w:rPr>
        <w:t>review</w:t>
      </w:r>
      <w:r>
        <w:rPr>
          <w:color w:val="000000" w:themeColor="text1"/>
        </w:rPr>
        <w:t xml:space="preserve"> can be made to </w:t>
      </w:r>
      <w:hyperlink r:id="rId8" w:history="1">
        <w:r w:rsidRPr="00BC183F">
          <w:rPr>
            <w:rStyle w:val="Hyperlink"/>
          </w:rPr>
          <w:t>Fitzroy Basin Association</w:t>
        </w:r>
      </w:hyperlink>
      <w:r>
        <w:rPr>
          <w:color w:val="000000" w:themeColor="text1"/>
        </w:rPr>
        <w:t>.</w:t>
      </w:r>
    </w:p>
    <w:p w14:paraId="64EE024D" w14:textId="7248A1FF" w:rsidR="00F40654" w:rsidRDefault="00F40654">
      <w:pPr>
        <w:rPr>
          <w:rFonts w:asciiTheme="majorHAnsi" w:eastAsiaTheme="majorEastAsia" w:hAnsiTheme="majorHAnsi" w:cstheme="majorBidi"/>
          <w:color w:val="2F5496" w:themeColor="accent1" w:themeShade="BF"/>
          <w:sz w:val="26"/>
          <w:szCs w:val="26"/>
        </w:rPr>
      </w:pPr>
      <w:r>
        <w:br w:type="page"/>
      </w:r>
    </w:p>
    <w:p w14:paraId="4D630067" w14:textId="119A3B9F" w:rsidR="0094207C" w:rsidRDefault="0094207C" w:rsidP="0094207C">
      <w:pPr>
        <w:pStyle w:val="Heading2"/>
      </w:pPr>
      <w:r>
        <w:lastRenderedPageBreak/>
        <w:t xml:space="preserve">2 – 2020 </w:t>
      </w:r>
      <w:r w:rsidR="009F3305">
        <w:t xml:space="preserve">regional </w:t>
      </w:r>
      <w:r>
        <w:t>natural assets community survey and report</w:t>
      </w:r>
    </w:p>
    <w:p w14:paraId="45A56234" w14:textId="605959BF" w:rsidR="005A1DB2" w:rsidRDefault="005A1DB2" w:rsidP="009F3305">
      <w:pPr>
        <w:spacing w:before="240"/>
      </w:pPr>
      <w:r>
        <w:t>In 2020, Fitzroy Basin Association (FBA) launched a region-wide community survey to inform updates of the CQSS2030. In addition to ensuring community aspirations were adequately captured and reflected in plan updates, the survey and subsequent data analysis was undertaken to identify ways to improve the relevance and useability of the CQSS2030, ascertain public opinion on the region’s natural assets, identify regional contributions to looking after the natural assets as well as raise awareness of the CQSS and region’s natural assets.</w:t>
      </w:r>
      <w:r w:rsidRPr="005A1DB2">
        <w:t xml:space="preserve"> </w:t>
      </w:r>
      <w:r>
        <w:t>Due to the 2020 COVID19 pandemic, an incentivised online survey was determined the safest and most effective method of reaching a diverse and representative cross-section of the community throughout the region.</w:t>
      </w:r>
    </w:p>
    <w:p w14:paraId="384FD924" w14:textId="174F08F7" w:rsidR="005A1DB2" w:rsidRDefault="005A1DB2" w:rsidP="005A1DB2">
      <w:r>
        <w:t xml:space="preserve">The survey, hosted on FBA’s website was opened on May 28 to anyone ‘who works, lives, </w:t>
      </w:r>
      <w:proofErr w:type="gramStart"/>
      <w:r>
        <w:t>studies</w:t>
      </w:r>
      <w:proofErr w:type="gramEnd"/>
      <w:r>
        <w:t xml:space="preserve"> or recreates’ in the Fitzroy region, and closed on July 18, 2020. Promoted by FBA through existing contacts and networks, social media as well as in local traditional media (local newspapers, </w:t>
      </w:r>
      <w:proofErr w:type="gramStart"/>
      <w:r>
        <w:t>radio</w:t>
      </w:r>
      <w:proofErr w:type="gramEnd"/>
      <w:r>
        <w:t xml:space="preserve"> and TV news) it resulted in 1278 responses used for </w:t>
      </w:r>
      <w:r w:rsidR="005C2029">
        <w:t xml:space="preserve">data </w:t>
      </w:r>
      <w:r>
        <w:t xml:space="preserve">analysis. The survey was designed in consultation with an independent research assistant, who also analysed the data and prepared a survey report </w:t>
      </w:r>
      <w:r w:rsidR="009F3305">
        <w:t>in collaboration with</w:t>
      </w:r>
      <w:r>
        <w:t xml:space="preserve"> FBA. </w:t>
      </w:r>
    </w:p>
    <w:p w14:paraId="4ADE912E" w14:textId="77777777" w:rsidR="00F12A5A" w:rsidRDefault="005A1DB2" w:rsidP="005A1DB2">
      <w:r>
        <w:t xml:space="preserve">While not a representative sample of the regional population (compared with 2018 ABS data), findings from the data present the most comprehensive insight into the region’s opinion of, and relation to the region’s natural resources to date (at time of writing, FBA were not aware of any comparable data sets or reports).  Findings indicate that </w:t>
      </w:r>
      <w:proofErr w:type="gramStart"/>
      <w:r>
        <w:t>the majority of</w:t>
      </w:r>
      <w:proofErr w:type="gramEnd"/>
      <w:r>
        <w:t xml:space="preserve"> the region is unaware of the region’s NRM plan, the CQSS:2030. Findings also indicate that asset condition has been stable to declining since 2015 according to public opinion. The most common activities people undertake to help look after natural assets fall within ‘personal lifestyle choices’, and most people perceive these activities to have a small and/or very localised impact on the state of the natural assets. Soil and climate and air </w:t>
      </w:r>
      <w:proofErr w:type="gramStart"/>
      <w:r>
        <w:t>are considered to be</w:t>
      </w:r>
      <w:proofErr w:type="gramEnd"/>
      <w:r>
        <w:t xml:space="preserve"> the most important natural assets to the region, and the predominant aspiration for the region over the coming 10 years is maintenance or improvement of the region’s natural assets. There were </w:t>
      </w:r>
      <w:proofErr w:type="gramStart"/>
      <w:r>
        <w:t>a number of</w:t>
      </w:r>
      <w:proofErr w:type="gramEnd"/>
      <w:r>
        <w:t xml:space="preserve"> statistically significant differences found within the regional population - mostly commonly based on age, stakeholder type and location within the region. These differences are detailed </w:t>
      </w:r>
      <w:r w:rsidR="009F3305">
        <w:t xml:space="preserve">in the complete </w:t>
      </w:r>
      <w:r>
        <w:t xml:space="preserve">survey report. </w:t>
      </w:r>
    </w:p>
    <w:p w14:paraId="4FCE731F" w14:textId="3D129609" w:rsidR="005A1DB2" w:rsidRPr="00BC183F" w:rsidRDefault="005A1DB2" w:rsidP="005A1DB2">
      <w:r>
        <w:t xml:space="preserve">A summary of the </w:t>
      </w:r>
      <w:r w:rsidR="00F12A5A">
        <w:t xml:space="preserve">2020 </w:t>
      </w:r>
      <w:r>
        <w:t xml:space="preserve">survey process and </w:t>
      </w:r>
      <w:r w:rsidR="00F12A5A">
        <w:t>outcomes</w:t>
      </w:r>
      <w:r>
        <w:t xml:space="preserve"> is contained in </w:t>
      </w:r>
      <w:r w:rsidRPr="00F12A5A">
        <w:rPr>
          <w:b/>
          <w:bCs/>
        </w:rPr>
        <w:t>Appendix B</w:t>
      </w:r>
      <w:r>
        <w:t>.</w:t>
      </w:r>
      <w:r w:rsidR="00BC183F">
        <w:t xml:space="preserve"> </w:t>
      </w:r>
      <w:r w:rsidR="00BC183F" w:rsidRPr="00BC183F">
        <w:rPr>
          <w:color w:val="000000" w:themeColor="text1"/>
        </w:rPr>
        <w:t xml:space="preserve">Requests for </w:t>
      </w:r>
      <w:r w:rsidR="001A69EE">
        <w:rPr>
          <w:color w:val="000000" w:themeColor="text1"/>
        </w:rPr>
        <w:t>further information about the results of the survey</w:t>
      </w:r>
      <w:r w:rsidR="00BC183F" w:rsidRPr="00BC183F">
        <w:rPr>
          <w:color w:val="000000" w:themeColor="text1"/>
        </w:rPr>
        <w:t xml:space="preserve"> can be made to </w:t>
      </w:r>
      <w:hyperlink r:id="rId9" w:history="1">
        <w:r w:rsidR="00BC183F" w:rsidRPr="00BC183F">
          <w:rPr>
            <w:rStyle w:val="Hyperlink"/>
          </w:rPr>
          <w:t>Fitzroy Basin Association</w:t>
        </w:r>
      </w:hyperlink>
      <w:r w:rsidR="00BC183F" w:rsidRPr="00BC183F">
        <w:rPr>
          <w:color w:val="000000" w:themeColor="text1"/>
        </w:rPr>
        <w:t>.</w:t>
      </w:r>
    </w:p>
    <w:p w14:paraId="547CB8E8" w14:textId="77777777" w:rsidR="005A1DB2" w:rsidRPr="005A1DB2" w:rsidRDefault="005A1DB2" w:rsidP="005A1DB2"/>
    <w:p w14:paraId="20974888" w14:textId="77777777" w:rsidR="009F3305" w:rsidRDefault="009F3305">
      <w:pPr>
        <w:rPr>
          <w:rFonts w:asciiTheme="majorHAnsi" w:eastAsiaTheme="majorEastAsia" w:hAnsiTheme="majorHAnsi" w:cstheme="majorBidi"/>
          <w:color w:val="2F5496" w:themeColor="accent1" w:themeShade="BF"/>
          <w:sz w:val="26"/>
          <w:szCs w:val="26"/>
        </w:rPr>
      </w:pPr>
      <w:r>
        <w:br w:type="page"/>
      </w:r>
    </w:p>
    <w:p w14:paraId="6A1352B2" w14:textId="4D8E516B" w:rsidR="0094207C" w:rsidRDefault="0094207C" w:rsidP="0094207C">
      <w:pPr>
        <w:pStyle w:val="Heading2"/>
      </w:pPr>
      <w:r>
        <w:lastRenderedPageBreak/>
        <w:t>3 – 2021 technical specialist workshop</w:t>
      </w:r>
    </w:p>
    <w:p w14:paraId="58885C29" w14:textId="77777777" w:rsidR="00F40654" w:rsidRDefault="009F3305" w:rsidP="00F40654">
      <w:pPr>
        <w:spacing w:before="240"/>
      </w:pPr>
      <w:r>
        <w:t xml:space="preserve">Over 50 technical specialists were invited to participate in a 2-day workshop to </w:t>
      </w:r>
      <w:r w:rsidR="00F12A5A">
        <w:t xml:space="preserve">discuss and </w:t>
      </w:r>
      <w:r>
        <w:t xml:space="preserve">review the existing CQSS2030 assets, key attributes, objectives, </w:t>
      </w:r>
      <w:proofErr w:type="gramStart"/>
      <w:r>
        <w:t>indicators</w:t>
      </w:r>
      <w:proofErr w:type="gramEnd"/>
      <w:r>
        <w:t xml:space="preserve"> and strategies</w:t>
      </w:r>
      <w:r w:rsidR="00F40654">
        <w:t>, as well as suggest relevant targets</w:t>
      </w:r>
      <w:r>
        <w:t xml:space="preserve">. </w:t>
      </w:r>
    </w:p>
    <w:p w14:paraId="198015C0" w14:textId="77777777" w:rsidR="00F40654" w:rsidRDefault="009F3305" w:rsidP="009F3305">
      <w:r>
        <w:t>A total of 41 participants from 20 different businesses and organisations participated</w:t>
      </w:r>
      <w:r w:rsidR="00F40654">
        <w:t xml:space="preserve">, </w:t>
      </w:r>
      <w:r w:rsidR="00F12A5A">
        <w:t xml:space="preserve">including representatives from GBRMPA, BHP, DNRME, DES, CQU, DAF and AIMS. Recommendations from the six asset groups have been integrated into the 2021 revisions of the CQSS2030 under the Our Plan pages. </w:t>
      </w:r>
    </w:p>
    <w:p w14:paraId="41D34B79" w14:textId="190C98FB" w:rsidR="00F12A5A" w:rsidRDefault="00F12A5A" w:rsidP="009F3305">
      <w:r>
        <w:t xml:space="preserve">Participants </w:t>
      </w:r>
      <w:r w:rsidR="00F40654">
        <w:t xml:space="preserve">also </w:t>
      </w:r>
      <w:r>
        <w:t>expressed strong interest in working together</w:t>
      </w:r>
      <w:r w:rsidR="00F40654">
        <w:t xml:space="preserve"> over coming years</w:t>
      </w:r>
      <w:r>
        <w:t xml:space="preserve"> to improve regional </w:t>
      </w:r>
      <w:r w:rsidR="005C2029">
        <w:t>understanding of</w:t>
      </w:r>
      <w:r>
        <w:t xml:space="preserve"> asset conditions and trends</w:t>
      </w:r>
      <w:r w:rsidR="00F40654">
        <w:t xml:space="preserve"> and improve the ability to report on them</w:t>
      </w:r>
      <w:r>
        <w:t xml:space="preserve">. The discussions and concerns raised in the 2021 technical specialist </w:t>
      </w:r>
      <w:r w:rsidR="00F40654">
        <w:t xml:space="preserve">are therefore also reflected in the </w:t>
      </w:r>
      <w:r>
        <w:t xml:space="preserve">recommendations outlined in </w:t>
      </w:r>
      <w:r w:rsidR="00A62412">
        <w:t>Section</w:t>
      </w:r>
      <w:r>
        <w:t xml:space="preserve"> 8</w:t>
      </w:r>
      <w:r w:rsidR="00F40654">
        <w:t xml:space="preserve"> - What next? Recommendations from the 2018-21 CQSS2030 review</w:t>
      </w:r>
      <w:r>
        <w:t>.</w:t>
      </w:r>
    </w:p>
    <w:p w14:paraId="67D64B70" w14:textId="280FB5CE" w:rsidR="009F3305" w:rsidRPr="009F3305" w:rsidRDefault="00F12A5A" w:rsidP="009F3305">
      <w:r>
        <w:t xml:space="preserve">A summary of the 2021 technical specialist workshop participants, agenda, </w:t>
      </w:r>
      <w:proofErr w:type="gramStart"/>
      <w:r>
        <w:t>aims</w:t>
      </w:r>
      <w:proofErr w:type="gramEnd"/>
      <w:r>
        <w:t xml:space="preserve"> and outcomes is contained in </w:t>
      </w:r>
      <w:r w:rsidRPr="00F12A5A">
        <w:rPr>
          <w:b/>
          <w:bCs/>
        </w:rPr>
        <w:t>Appendix C</w:t>
      </w:r>
      <w:r>
        <w:t>.</w:t>
      </w:r>
    </w:p>
    <w:p w14:paraId="0641842B" w14:textId="77777777" w:rsidR="00F40654" w:rsidRDefault="00F40654">
      <w:pPr>
        <w:rPr>
          <w:rFonts w:asciiTheme="majorHAnsi" w:eastAsiaTheme="majorEastAsia" w:hAnsiTheme="majorHAnsi" w:cstheme="majorBidi"/>
          <w:color w:val="2F5496" w:themeColor="accent1" w:themeShade="BF"/>
          <w:sz w:val="26"/>
          <w:szCs w:val="26"/>
        </w:rPr>
      </w:pPr>
      <w:r>
        <w:br w:type="page"/>
      </w:r>
    </w:p>
    <w:p w14:paraId="02586A5C" w14:textId="01AB34CA" w:rsidR="0094207C" w:rsidRDefault="0094207C" w:rsidP="0094207C">
      <w:pPr>
        <w:pStyle w:val="Heading2"/>
      </w:pPr>
      <w:bookmarkStart w:id="1" w:name="_Hlk79405670"/>
      <w:r>
        <w:lastRenderedPageBreak/>
        <w:t>4 – First Nations consultation</w:t>
      </w:r>
    </w:p>
    <w:bookmarkEnd w:id="1"/>
    <w:p w14:paraId="0717F6D5" w14:textId="77777777" w:rsidR="00910A65" w:rsidRDefault="00910A65" w:rsidP="00910A65">
      <w:pPr>
        <w:shd w:val="clear" w:color="auto" w:fill="FFFFFF"/>
        <w:spacing w:before="240"/>
        <w:jc w:val="both"/>
        <w:rPr>
          <w:rFonts w:cstheme="minorHAnsi"/>
          <w:color w:val="333333"/>
          <w:lang w:eastAsia="en-AU"/>
        </w:rPr>
      </w:pPr>
      <w:r>
        <w:rPr>
          <w:rFonts w:cstheme="minorHAnsi"/>
          <w:color w:val="333333"/>
          <w:lang w:eastAsia="en-AU"/>
        </w:rPr>
        <w:t xml:space="preserve">Recognising the importance of an equitable approach to involve First Nations in natural resource management (NRM) planning, all sixteen First Nations in the Fitzroy region were invited to participate in natural resource management consultations in March 2021, with the understanding that consultation would be a staged approach over time and require the leveraging of additional resources. Three consultations were anticipated between April and June 2021, to embed First Nation perspectives into the CQSS:2030 website update. </w:t>
      </w:r>
    </w:p>
    <w:p w14:paraId="3D64F822" w14:textId="77777777" w:rsidR="00910A65" w:rsidRDefault="00910A65" w:rsidP="00910A65">
      <w:pPr>
        <w:shd w:val="clear" w:color="auto" w:fill="FFFFFF"/>
        <w:jc w:val="both"/>
        <w:rPr>
          <w:rFonts w:cstheme="minorHAnsi"/>
          <w:color w:val="333333"/>
          <w:lang w:eastAsia="en-AU"/>
        </w:rPr>
      </w:pPr>
      <w:r>
        <w:rPr>
          <w:rFonts w:cstheme="minorHAnsi"/>
          <w:color w:val="333333"/>
          <w:lang w:eastAsia="en-AU"/>
        </w:rPr>
        <w:t xml:space="preserve">This involved contacting each First Nation through their nominated or preferred point of contact and sharing a project flyer for consideration. Ten of the sixteen First Nations showed positive interest in the project and were provided with a scope of work outlining the purpose, consultation questions and an invitation to quote to undertake the consultation with Fitzroy Basin Association (FBA). </w:t>
      </w:r>
    </w:p>
    <w:p w14:paraId="65901760" w14:textId="77777777" w:rsidR="00910A65" w:rsidRDefault="00910A65" w:rsidP="00910A65">
      <w:pPr>
        <w:shd w:val="clear" w:color="auto" w:fill="FFFFFF"/>
        <w:jc w:val="both"/>
        <w:rPr>
          <w:rFonts w:cstheme="minorHAnsi"/>
          <w:color w:val="333333"/>
          <w:lang w:eastAsia="en-AU"/>
        </w:rPr>
      </w:pPr>
      <w:r>
        <w:rPr>
          <w:rFonts w:cstheme="minorHAnsi"/>
          <w:color w:val="333333"/>
          <w:lang w:eastAsia="en-AU"/>
        </w:rPr>
        <w:t>Consultations</w:t>
      </w:r>
      <w:r w:rsidRPr="002B3931">
        <w:rPr>
          <w:rFonts w:cstheme="minorHAnsi"/>
          <w:color w:val="333333"/>
          <w:lang w:eastAsia="en-AU"/>
        </w:rPr>
        <w:t xml:space="preserve"> were undertaken </w:t>
      </w:r>
      <w:r>
        <w:rPr>
          <w:rFonts w:cstheme="minorHAnsi"/>
          <w:color w:val="333333"/>
          <w:lang w:eastAsia="en-AU"/>
        </w:rPr>
        <w:t xml:space="preserve">with </w:t>
      </w:r>
      <w:proofErr w:type="spellStart"/>
      <w:r>
        <w:rPr>
          <w:rFonts w:cstheme="minorHAnsi"/>
          <w:color w:val="333333"/>
          <w:lang w:eastAsia="en-AU"/>
        </w:rPr>
        <w:t>Bidjara</w:t>
      </w:r>
      <w:proofErr w:type="spellEnd"/>
      <w:r>
        <w:rPr>
          <w:rFonts w:cstheme="minorHAnsi"/>
          <w:color w:val="333333"/>
          <w:lang w:eastAsia="en-AU"/>
        </w:rPr>
        <w:t xml:space="preserve"> (May 2021), </w:t>
      </w:r>
      <w:proofErr w:type="spellStart"/>
      <w:r>
        <w:rPr>
          <w:rFonts w:cstheme="minorHAnsi"/>
          <w:color w:val="333333"/>
          <w:lang w:eastAsia="en-AU"/>
        </w:rPr>
        <w:t>Wadja</w:t>
      </w:r>
      <w:proofErr w:type="spellEnd"/>
      <w:r>
        <w:rPr>
          <w:rFonts w:cstheme="minorHAnsi"/>
          <w:color w:val="333333"/>
          <w:lang w:eastAsia="en-AU"/>
        </w:rPr>
        <w:t xml:space="preserve"> (June 2021) and </w:t>
      </w:r>
      <w:proofErr w:type="spellStart"/>
      <w:r>
        <w:rPr>
          <w:rFonts w:cstheme="minorHAnsi"/>
          <w:color w:val="333333"/>
          <w:lang w:eastAsia="en-AU"/>
        </w:rPr>
        <w:t>Kanolu</w:t>
      </w:r>
      <w:proofErr w:type="spellEnd"/>
      <w:r>
        <w:rPr>
          <w:rFonts w:cstheme="minorHAnsi"/>
          <w:color w:val="333333"/>
          <w:lang w:eastAsia="en-AU"/>
        </w:rPr>
        <w:t xml:space="preserve"> (July 2021) Peoples. As t</w:t>
      </w:r>
      <w:r w:rsidRPr="00EC090F">
        <w:rPr>
          <w:rFonts w:cstheme="minorHAnsi"/>
          <w:color w:val="333333"/>
          <w:lang w:eastAsia="en-AU"/>
        </w:rPr>
        <w:t>he new CQSS2030 website will function as a living document</w:t>
      </w:r>
      <w:r>
        <w:rPr>
          <w:rFonts w:cstheme="minorHAnsi"/>
          <w:color w:val="333333"/>
          <w:lang w:eastAsia="en-AU"/>
        </w:rPr>
        <w:t>,</w:t>
      </w:r>
      <w:r w:rsidRPr="00EC090F">
        <w:rPr>
          <w:rFonts w:cstheme="minorHAnsi"/>
          <w:color w:val="333333"/>
          <w:lang w:eastAsia="en-AU"/>
        </w:rPr>
        <w:t xml:space="preserve"> updates </w:t>
      </w:r>
      <w:r>
        <w:rPr>
          <w:rFonts w:cstheme="minorHAnsi"/>
          <w:color w:val="333333"/>
          <w:lang w:eastAsia="en-AU"/>
        </w:rPr>
        <w:t xml:space="preserve">will </w:t>
      </w:r>
      <w:r w:rsidRPr="00EC090F">
        <w:rPr>
          <w:rFonts w:cstheme="minorHAnsi"/>
          <w:color w:val="333333"/>
          <w:lang w:eastAsia="en-AU"/>
        </w:rPr>
        <w:t xml:space="preserve">continue </w:t>
      </w:r>
      <w:r>
        <w:rPr>
          <w:rFonts w:cstheme="minorHAnsi"/>
          <w:color w:val="333333"/>
          <w:lang w:eastAsia="en-AU"/>
        </w:rPr>
        <w:t xml:space="preserve">to embed </w:t>
      </w:r>
      <w:r w:rsidRPr="00EC090F">
        <w:rPr>
          <w:rFonts w:cstheme="minorHAnsi"/>
          <w:color w:val="333333"/>
          <w:lang w:eastAsia="en-AU"/>
        </w:rPr>
        <w:t xml:space="preserve">consultations </w:t>
      </w:r>
      <w:r>
        <w:rPr>
          <w:rFonts w:cstheme="minorHAnsi"/>
          <w:color w:val="333333"/>
          <w:lang w:eastAsia="en-AU"/>
        </w:rPr>
        <w:t>from</w:t>
      </w:r>
      <w:r w:rsidRPr="00EC090F">
        <w:rPr>
          <w:rFonts w:cstheme="minorHAnsi"/>
          <w:color w:val="333333"/>
          <w:lang w:eastAsia="en-AU"/>
        </w:rPr>
        <w:t xml:space="preserve"> other First Nations as they arise.</w:t>
      </w:r>
    </w:p>
    <w:p w14:paraId="63DDB4B6" w14:textId="77777777" w:rsidR="00910A65" w:rsidRPr="00EC090F" w:rsidRDefault="00910A65" w:rsidP="00910A65">
      <w:pPr>
        <w:shd w:val="clear" w:color="auto" w:fill="FFFFFF"/>
        <w:jc w:val="both"/>
        <w:rPr>
          <w:rFonts w:cstheme="minorHAnsi"/>
          <w:sz w:val="24"/>
          <w:szCs w:val="24"/>
        </w:rPr>
      </w:pPr>
      <w:r w:rsidRPr="00651AFF">
        <w:rPr>
          <w:rFonts w:cstheme="minorHAnsi"/>
          <w:b/>
          <w:bCs/>
          <w:color w:val="333333"/>
          <w:lang w:eastAsia="en-AU"/>
        </w:rPr>
        <w:t>Appendix D</w:t>
      </w:r>
      <w:r>
        <w:rPr>
          <w:rFonts w:cstheme="minorHAnsi"/>
          <w:color w:val="333333"/>
          <w:lang w:eastAsia="en-AU"/>
        </w:rPr>
        <w:t xml:space="preserve"> contains a summary report outlining First Nations invitees, participants, and outcomes from the March-July 2021 consultation.</w:t>
      </w:r>
    </w:p>
    <w:p w14:paraId="001D5DFC" w14:textId="307AC1E8" w:rsidR="00F40654" w:rsidRDefault="00F40654">
      <w:pPr>
        <w:rPr>
          <w:rFonts w:asciiTheme="majorHAnsi" w:eastAsiaTheme="majorEastAsia" w:hAnsiTheme="majorHAnsi" w:cstheme="majorBidi"/>
          <w:color w:val="2F5496" w:themeColor="accent1" w:themeShade="BF"/>
          <w:sz w:val="26"/>
          <w:szCs w:val="26"/>
        </w:rPr>
      </w:pPr>
      <w:r>
        <w:br w:type="page"/>
      </w:r>
    </w:p>
    <w:p w14:paraId="14F4E9EC" w14:textId="7D48E9CB" w:rsidR="0094207C" w:rsidRDefault="0094207C" w:rsidP="0094207C">
      <w:pPr>
        <w:pStyle w:val="Heading2"/>
      </w:pPr>
      <w:r>
        <w:lastRenderedPageBreak/>
        <w:t>5 – Regional council consultation</w:t>
      </w:r>
    </w:p>
    <w:p w14:paraId="30E94AEF" w14:textId="1D37277F" w:rsidR="00F40654" w:rsidRDefault="005B2859" w:rsidP="007A5196">
      <w:pPr>
        <w:spacing w:before="240"/>
      </w:pPr>
      <w:r w:rsidRPr="005B2859">
        <w:t xml:space="preserve">The Fitzroy Region overlaps 12 Local Government Areas (or council areas), who are also involved in looking after the </w:t>
      </w:r>
      <w:r>
        <w:t xml:space="preserve">region’s </w:t>
      </w:r>
      <w:r w:rsidRPr="005B2859">
        <w:t>environment and natural resources.</w:t>
      </w:r>
      <w:r>
        <w:t xml:space="preserve"> </w:t>
      </w:r>
      <w:r w:rsidR="004A5718">
        <w:t xml:space="preserve">When and as appropriate, </w:t>
      </w:r>
      <w:r>
        <w:t>Fitzroy Basin Association meets</w:t>
      </w:r>
      <w:r w:rsidR="004A5718">
        <w:t xml:space="preserve"> </w:t>
      </w:r>
      <w:r>
        <w:t xml:space="preserve">regularly </w:t>
      </w:r>
      <w:r w:rsidR="004A5718">
        <w:t xml:space="preserve">with </w:t>
      </w:r>
      <w:r w:rsidR="007A5196">
        <w:t>councils</w:t>
      </w:r>
      <w:r w:rsidR="004A5718">
        <w:t xml:space="preserve"> to </w:t>
      </w:r>
      <w:r>
        <w:t xml:space="preserve">discuss matters of shared </w:t>
      </w:r>
      <w:r w:rsidR="007A5196">
        <w:t xml:space="preserve">environmental </w:t>
      </w:r>
      <w:r>
        <w:t>concern and</w:t>
      </w:r>
      <w:r w:rsidR="004A5718">
        <w:t xml:space="preserve"> interest</w:t>
      </w:r>
      <w:r>
        <w:t xml:space="preserve">. </w:t>
      </w:r>
    </w:p>
    <w:p w14:paraId="27782E98" w14:textId="44CAE5B6" w:rsidR="007A5196" w:rsidRPr="007A5196" w:rsidRDefault="007A5196" w:rsidP="00F40654">
      <w:r>
        <w:t xml:space="preserve">Six of the seven councils that mostly or completely fall within the Fitzroy Region participated in the CQSS2030 review process by responding to a request to </w:t>
      </w:r>
      <w:r w:rsidR="004A5718" w:rsidRPr="007A5196">
        <w:t xml:space="preserve">verify or, where necessary, </w:t>
      </w:r>
      <w:r w:rsidRPr="007A5196">
        <w:t>update</w:t>
      </w:r>
      <w:r w:rsidR="004A5718" w:rsidRPr="007A5196">
        <w:t xml:space="preserve"> findings of </w:t>
      </w:r>
      <w:r w:rsidRPr="007A5196">
        <w:t xml:space="preserve">the </w:t>
      </w:r>
      <w:r w:rsidR="004A5718" w:rsidRPr="007A5196">
        <w:t xml:space="preserve">desktop review </w:t>
      </w:r>
      <w:r w:rsidRPr="007A5196">
        <w:t>(</w:t>
      </w:r>
      <w:r>
        <w:t xml:space="preserve">outlined </w:t>
      </w:r>
      <w:r w:rsidRPr="00A62412">
        <w:t xml:space="preserve">in </w:t>
      </w:r>
      <w:r w:rsidR="00A62412" w:rsidRPr="00A62412">
        <w:t>Section</w:t>
      </w:r>
      <w:r w:rsidRPr="00A62412">
        <w:t xml:space="preserve"> 1, </w:t>
      </w:r>
      <w:r w:rsidR="00A62412" w:rsidRPr="00A62412">
        <w:t xml:space="preserve">output 2 on </w:t>
      </w:r>
      <w:r w:rsidRPr="00A62412">
        <w:t xml:space="preserve">page </w:t>
      </w:r>
      <w:r w:rsidR="00A62412" w:rsidRPr="00A62412">
        <w:t>2</w:t>
      </w:r>
      <w:r w:rsidRPr="00A62412">
        <w:t>). This ensured</w:t>
      </w:r>
      <w:r w:rsidRPr="007A5196">
        <w:t xml:space="preserve"> </w:t>
      </w:r>
      <w:r w:rsidR="004A5718" w:rsidRPr="007A5196">
        <w:t>relevant</w:t>
      </w:r>
      <w:r>
        <w:t xml:space="preserve"> council</w:t>
      </w:r>
      <w:r w:rsidR="004A5718" w:rsidRPr="007A5196">
        <w:t xml:space="preserve"> strategies, plans, </w:t>
      </w:r>
      <w:proofErr w:type="gramStart"/>
      <w:r w:rsidR="004A5718" w:rsidRPr="007A5196">
        <w:t>policies</w:t>
      </w:r>
      <w:proofErr w:type="gramEnd"/>
      <w:r w:rsidR="004A5718" w:rsidRPr="007A5196">
        <w:t xml:space="preserve"> and programs that support natural asset management and community wellbeing</w:t>
      </w:r>
      <w:r w:rsidRPr="007A5196">
        <w:t xml:space="preserve"> were considered </w:t>
      </w:r>
      <w:r>
        <w:t>along with</w:t>
      </w:r>
      <w:r w:rsidRPr="007A5196">
        <w:t xml:space="preserve"> ongoing dialogue </w:t>
      </w:r>
      <w:r>
        <w:t>in the review and updates of the CQSS2030</w:t>
      </w:r>
      <w:r w:rsidR="004A5718" w:rsidRPr="007A5196">
        <w:t>.</w:t>
      </w:r>
    </w:p>
    <w:p w14:paraId="21FD614A" w14:textId="4751C91A" w:rsidR="004A5718" w:rsidRDefault="007A5196" w:rsidP="00F40654">
      <w:r w:rsidRPr="007A5196">
        <w:rPr>
          <w:b/>
          <w:bCs/>
        </w:rPr>
        <w:t xml:space="preserve">Appendix E </w:t>
      </w:r>
      <w:r>
        <w:t>provides a map and names of the councils who participated in this process.</w:t>
      </w:r>
    </w:p>
    <w:p w14:paraId="5F405BC4" w14:textId="77777777" w:rsidR="004A5718" w:rsidRPr="00F40654" w:rsidRDefault="004A5718" w:rsidP="00F40654"/>
    <w:p w14:paraId="0A36F177" w14:textId="77777777" w:rsidR="00F40654" w:rsidRPr="005B2859" w:rsidRDefault="00F40654">
      <w:r>
        <w:br w:type="page"/>
      </w:r>
    </w:p>
    <w:p w14:paraId="12BEB371" w14:textId="69CCECE5" w:rsidR="0094207C" w:rsidRDefault="0094207C" w:rsidP="0094207C">
      <w:pPr>
        <w:pStyle w:val="Heading2"/>
      </w:pPr>
      <w:r>
        <w:lastRenderedPageBreak/>
        <w:t>6 – Internal F</w:t>
      </w:r>
      <w:r w:rsidR="00540F3E">
        <w:t xml:space="preserve">itzroy </w:t>
      </w:r>
      <w:r>
        <w:t>B</w:t>
      </w:r>
      <w:r w:rsidR="00540F3E">
        <w:t xml:space="preserve">asin </w:t>
      </w:r>
      <w:r>
        <w:t>A</w:t>
      </w:r>
      <w:r w:rsidR="00540F3E">
        <w:t>ssociation</w:t>
      </w:r>
      <w:r>
        <w:t xml:space="preserve"> reviews</w:t>
      </w:r>
      <w:r w:rsidR="00F31DDC">
        <w:t xml:space="preserve"> and updates</w:t>
      </w:r>
    </w:p>
    <w:p w14:paraId="6D6E337B" w14:textId="77D58841" w:rsidR="00540F3E" w:rsidRDefault="00540F3E" w:rsidP="00540F3E">
      <w:pPr>
        <w:spacing w:before="240"/>
      </w:pPr>
      <w:r>
        <w:t xml:space="preserve">A total of </w:t>
      </w:r>
      <w:r w:rsidR="0050191C">
        <w:t>five</w:t>
      </w:r>
      <w:r>
        <w:t xml:space="preserve"> internal reviews were undertaken </w:t>
      </w:r>
      <w:r w:rsidR="00FE4683">
        <w:t>by</w:t>
      </w:r>
      <w:r>
        <w:t xml:space="preserve"> </w:t>
      </w:r>
      <w:r w:rsidR="006F2AFE">
        <w:t xml:space="preserve">a team of </w:t>
      </w:r>
      <w:r>
        <w:t xml:space="preserve">FBA staff </w:t>
      </w:r>
      <w:r w:rsidR="006F2AFE">
        <w:t xml:space="preserve">(listed in </w:t>
      </w:r>
      <w:r w:rsidR="006F2AFE" w:rsidRPr="006F2AFE">
        <w:rPr>
          <w:b/>
          <w:bCs/>
        </w:rPr>
        <w:t>Appendix F</w:t>
      </w:r>
      <w:r w:rsidR="006F2AFE">
        <w:t>) to</w:t>
      </w:r>
      <w:r w:rsidR="005C4E8A">
        <w:t xml:space="preserve"> inform the planning, </w:t>
      </w:r>
      <w:proofErr w:type="gramStart"/>
      <w:r w:rsidR="005C4E8A">
        <w:t>implementation</w:t>
      </w:r>
      <w:proofErr w:type="gramEnd"/>
      <w:r w:rsidR="005C4E8A">
        <w:t xml:space="preserve"> and finalisation of</w:t>
      </w:r>
      <w:r w:rsidR="00FE4683">
        <w:t xml:space="preserve"> the 2018-21 CQSS2030 review</w:t>
      </w:r>
      <w:r w:rsidR="005C4E8A">
        <w:t>,</w:t>
      </w:r>
      <w:r w:rsidR="00FE4683">
        <w:t xml:space="preserve"> as </w:t>
      </w:r>
      <w:r>
        <w:t>outlined below.</w:t>
      </w:r>
    </w:p>
    <w:p w14:paraId="551C1FAF" w14:textId="2D43140D" w:rsidR="00540F3E" w:rsidRDefault="00540F3E" w:rsidP="005C4E8A">
      <w:pPr>
        <w:pStyle w:val="Heading3"/>
        <w:numPr>
          <w:ilvl w:val="0"/>
          <w:numId w:val="13"/>
        </w:numPr>
        <w:ind w:left="360"/>
      </w:pPr>
      <w:bookmarkStart w:id="2" w:name="_Hlk80017299"/>
      <w:r>
        <w:t xml:space="preserve">2018 review against </w:t>
      </w:r>
      <w:r w:rsidR="002640C9">
        <w:t>R</w:t>
      </w:r>
      <w:r w:rsidR="005C4E8A">
        <w:t xml:space="preserve">egional </w:t>
      </w:r>
      <w:r w:rsidR="002640C9">
        <w:t>L</w:t>
      </w:r>
      <w:r w:rsidR="005C4E8A">
        <w:t xml:space="preserve">and </w:t>
      </w:r>
      <w:r w:rsidR="002640C9">
        <w:t>P</w:t>
      </w:r>
      <w:r w:rsidR="005C4E8A">
        <w:t>artnership (RLP)</w:t>
      </w:r>
      <w:r w:rsidR="002640C9">
        <w:t xml:space="preserve"> 5year outcomes and investment priorities</w:t>
      </w:r>
    </w:p>
    <w:p w14:paraId="645384BB" w14:textId="55C79A74" w:rsidR="002640C9" w:rsidRPr="002640C9" w:rsidRDefault="00FE4683" w:rsidP="005C4E8A">
      <w:pPr>
        <w:spacing w:before="240"/>
        <w:ind w:left="360"/>
      </w:pPr>
      <w:r>
        <w:t xml:space="preserve">This initial review </w:t>
      </w:r>
      <w:r w:rsidR="005C4E8A">
        <w:t>mapped</w:t>
      </w:r>
      <w:r>
        <w:t xml:space="preserve"> alignment of the CQSS2030 against RLP </w:t>
      </w:r>
      <w:proofErr w:type="gramStart"/>
      <w:r>
        <w:t>5 year</w:t>
      </w:r>
      <w:proofErr w:type="gramEnd"/>
      <w:r>
        <w:t xml:space="preserve"> outcomes and investment priorities, as well as </w:t>
      </w:r>
      <w:r w:rsidR="005C4E8A">
        <w:t>assessed requirements</w:t>
      </w:r>
      <w:r>
        <w:t xml:space="preserve"> under the Australian Government</w:t>
      </w:r>
      <w:r w:rsidR="005C4E8A">
        <w:t xml:space="preserve"> RLP</w:t>
      </w:r>
      <w:r>
        <w:t xml:space="preserve"> funding agreement with Fitzroy Basin Association to review and update the CQSS2030.</w:t>
      </w:r>
      <w:r w:rsidR="005C4E8A">
        <w:t xml:space="preserve"> The RLP </w:t>
      </w:r>
      <w:proofErr w:type="gramStart"/>
      <w:r w:rsidR="005C4E8A">
        <w:t>5 year</w:t>
      </w:r>
      <w:proofErr w:type="gramEnd"/>
      <w:r w:rsidR="005C4E8A">
        <w:t xml:space="preserve"> outcomes, investment priorities and funding agreement requirements are detailed in </w:t>
      </w:r>
      <w:r w:rsidR="005C4E8A" w:rsidRPr="005C4E8A">
        <w:rPr>
          <w:b/>
          <w:bCs/>
        </w:rPr>
        <w:t xml:space="preserve">Appendix </w:t>
      </w:r>
      <w:r w:rsidR="006F2AFE">
        <w:rPr>
          <w:b/>
          <w:bCs/>
        </w:rPr>
        <w:t>G</w:t>
      </w:r>
      <w:r w:rsidR="005C4E8A">
        <w:t>.</w:t>
      </w:r>
    </w:p>
    <w:p w14:paraId="44A13706" w14:textId="18662F2B" w:rsidR="00540F3E" w:rsidRDefault="00540F3E" w:rsidP="005C4E8A">
      <w:pPr>
        <w:pStyle w:val="Heading3"/>
        <w:numPr>
          <w:ilvl w:val="0"/>
          <w:numId w:val="13"/>
        </w:numPr>
        <w:ind w:left="360"/>
      </w:pPr>
      <w:r>
        <w:t>Regional Monitoring and Reporting desktop review</w:t>
      </w:r>
    </w:p>
    <w:p w14:paraId="775FFF5A" w14:textId="1A7B3AD7" w:rsidR="002640C9" w:rsidRPr="002640C9" w:rsidRDefault="002640C9" w:rsidP="005C4E8A">
      <w:pPr>
        <w:spacing w:before="240"/>
        <w:ind w:left="360"/>
      </w:pPr>
      <w:r>
        <w:t xml:space="preserve">Undertaken by FBA’s Environment team, this review mapped publicly </w:t>
      </w:r>
      <w:r w:rsidR="0041781E">
        <w:t>available</w:t>
      </w:r>
      <w:r>
        <w:t xml:space="preserve"> monitoring and reporting programs and activities undertaken </w:t>
      </w:r>
      <w:r w:rsidR="0041781E">
        <w:t>within</w:t>
      </w:r>
      <w:r>
        <w:t xml:space="preserve"> the region</w:t>
      </w:r>
      <w:r w:rsidRPr="002640C9">
        <w:t xml:space="preserve"> </w:t>
      </w:r>
      <w:r>
        <w:t xml:space="preserve">against the six CQSS2030 natural assets. </w:t>
      </w:r>
      <w:r w:rsidR="00785AC6">
        <w:t>Information was obtained from</w:t>
      </w:r>
      <w:r w:rsidR="004A665E">
        <w:t xml:space="preserve"> </w:t>
      </w:r>
      <w:r w:rsidR="00B32547">
        <w:t xml:space="preserve">Queensland and Australian </w:t>
      </w:r>
      <w:r w:rsidR="004A665E">
        <w:t>government</w:t>
      </w:r>
      <w:r w:rsidR="00785AC6">
        <w:t>, Australian Environmental Grantmakers network, and citizen science project finder databases. R</w:t>
      </w:r>
      <w:r>
        <w:t xml:space="preserve">esults </w:t>
      </w:r>
      <w:r w:rsidR="00785AC6">
        <w:t>were then peer</w:t>
      </w:r>
      <w:r>
        <w:t xml:space="preserve"> reviewed by the 2021 Technical specialist workshop participants.</w:t>
      </w:r>
      <w:r w:rsidR="0041781E">
        <w:t xml:space="preserve"> </w:t>
      </w:r>
      <w:r w:rsidR="007F5411">
        <w:t>While not considered complete, over</w:t>
      </w:r>
      <w:r w:rsidR="0041781E">
        <w:t xml:space="preserve"> 85 programs or initiatives </w:t>
      </w:r>
      <w:r w:rsidR="007F5411">
        <w:t xml:space="preserve">conducted by more than 40 different organisations were identified. This information was used to guide discussions about monitoring and reporting gaps and logistics issues at the </w:t>
      </w:r>
      <w:r w:rsidR="005C4E8A">
        <w:t xml:space="preserve">2021 </w:t>
      </w:r>
      <w:r w:rsidR="007F5411">
        <w:t>Technical specialist workshop</w:t>
      </w:r>
      <w:r w:rsidR="005C4E8A">
        <w:t xml:space="preserve"> (refer </w:t>
      </w:r>
      <w:r w:rsidR="00A62412">
        <w:t>Section</w:t>
      </w:r>
      <w:r w:rsidR="005C4E8A">
        <w:t xml:space="preserve"> 3</w:t>
      </w:r>
      <w:r w:rsidR="000A3C13">
        <w:t>) and</w:t>
      </w:r>
      <w:r w:rsidR="007F5411">
        <w:t xml:space="preserve"> </w:t>
      </w:r>
      <w:r w:rsidR="000A3C13">
        <w:t>will</w:t>
      </w:r>
      <w:r w:rsidR="007F5411">
        <w:t xml:space="preserve"> be used to inform future working group discussions and outcomes</w:t>
      </w:r>
      <w:r w:rsidR="005C4E8A">
        <w:t xml:space="preserve"> (refer </w:t>
      </w:r>
      <w:r w:rsidR="00A62412">
        <w:t>Section</w:t>
      </w:r>
      <w:r w:rsidR="005C4E8A">
        <w:t xml:space="preserve"> 8)</w:t>
      </w:r>
      <w:r w:rsidR="007F5411">
        <w:t>.</w:t>
      </w:r>
    </w:p>
    <w:p w14:paraId="6A95E218" w14:textId="612B91B1" w:rsidR="00540F3E" w:rsidRDefault="00540F3E" w:rsidP="005C4E8A">
      <w:pPr>
        <w:pStyle w:val="Heading3"/>
        <w:numPr>
          <w:ilvl w:val="0"/>
          <w:numId w:val="13"/>
        </w:numPr>
        <w:ind w:left="360"/>
      </w:pPr>
      <w:r>
        <w:t>Protected species review</w:t>
      </w:r>
    </w:p>
    <w:p w14:paraId="3A2C1497" w14:textId="5C925AD6" w:rsidR="000A3C13" w:rsidRDefault="00E565BC" w:rsidP="000A3C13">
      <w:pPr>
        <w:spacing w:before="240"/>
        <w:ind w:left="360"/>
      </w:pPr>
      <w:r>
        <w:t xml:space="preserve">An </w:t>
      </w:r>
      <w:r w:rsidR="00B32547">
        <w:t>in-depth</w:t>
      </w:r>
      <w:r w:rsidR="0015154F">
        <w:t xml:space="preserve"> review of all </w:t>
      </w:r>
      <w:r>
        <w:t xml:space="preserve">threatened </w:t>
      </w:r>
      <w:r w:rsidR="0015154F">
        <w:t>species</w:t>
      </w:r>
      <w:r w:rsidR="00B32547">
        <w:t xml:space="preserve"> located within the Fitzroy region</w:t>
      </w:r>
      <w:r w:rsidR="0015154F">
        <w:t xml:space="preserve"> listed under State and National legislation was performed by FBA’s Environment team.</w:t>
      </w:r>
      <w:r w:rsidR="00B32547">
        <w:t xml:space="preserve"> This involved determining for each species relevant threatening processes, </w:t>
      </w:r>
      <w:r>
        <w:t xml:space="preserve">habitats utilised and the </w:t>
      </w:r>
      <w:r w:rsidR="00B32547">
        <w:t>recommended</w:t>
      </w:r>
      <w:r>
        <w:t xml:space="preserve"> management</w:t>
      </w:r>
      <w:r w:rsidR="00B32547">
        <w:t xml:space="preserve"> </w:t>
      </w:r>
      <w:r>
        <w:t xml:space="preserve">actions to prevent further decline. </w:t>
      </w:r>
      <w:r w:rsidR="00B32547">
        <w:t xml:space="preserve">Information was sourced from within individual species recovery plans, conservation advice, threat abatement plans, scientific literature and other relevant plans and strategies. </w:t>
      </w:r>
      <w:r>
        <w:t xml:space="preserve">This information will be updated as species plans are reviewed, and new scientific information becomes available. </w:t>
      </w:r>
    </w:p>
    <w:p w14:paraId="3704BC76" w14:textId="187842FB" w:rsidR="00540F3E" w:rsidRPr="00540F3E" w:rsidRDefault="00540F3E" w:rsidP="005C4E8A">
      <w:pPr>
        <w:pStyle w:val="Heading3"/>
        <w:numPr>
          <w:ilvl w:val="0"/>
          <w:numId w:val="13"/>
        </w:numPr>
        <w:ind w:left="360"/>
      </w:pPr>
      <w:r>
        <w:t xml:space="preserve">Whole of </w:t>
      </w:r>
      <w:r w:rsidR="0050191C">
        <w:t xml:space="preserve">2018-21 </w:t>
      </w:r>
      <w:r>
        <w:t>consultation review</w:t>
      </w:r>
    </w:p>
    <w:p w14:paraId="1CB37C13" w14:textId="055D5729" w:rsidR="006F2AFE" w:rsidRDefault="005C4E8A" w:rsidP="005C4E8A">
      <w:pPr>
        <w:spacing w:before="240"/>
        <w:ind w:left="360"/>
      </w:pPr>
      <w:r>
        <w:t xml:space="preserve">Staff from FBA’s regional engagement and environment teams spent more than </w:t>
      </w:r>
      <w:r w:rsidR="0050191C">
        <w:t>three weeks</w:t>
      </w:r>
      <w:r>
        <w:t xml:space="preserve"> reviewing </w:t>
      </w:r>
      <w:r w:rsidR="0050191C">
        <w:t xml:space="preserve">and synthesising </w:t>
      </w:r>
      <w:r>
        <w:t xml:space="preserve">outcomes from the 2018-21 consultation </w:t>
      </w:r>
      <w:r w:rsidR="0050191C">
        <w:t>process</w:t>
      </w:r>
      <w:r>
        <w:t xml:space="preserve"> (</w:t>
      </w:r>
      <w:r w:rsidR="00A62412">
        <w:t>Section</w:t>
      </w:r>
      <w:r>
        <w:t xml:space="preserve">s 1-6c), culminating in </w:t>
      </w:r>
      <w:r w:rsidR="0050191C">
        <w:t xml:space="preserve">updates to the CQSS2030 plan and website. Updates to the CQSS2030 plan, including changes to key attributes and proposed targets, were </w:t>
      </w:r>
      <w:proofErr w:type="gramStart"/>
      <w:r w:rsidR="0050191C">
        <w:t>drafted</w:t>
      </w:r>
      <w:proofErr w:type="gramEnd"/>
      <w:r w:rsidR="0050191C">
        <w:t xml:space="preserve"> and then reviewed by </w:t>
      </w:r>
      <w:r w:rsidR="006C594E">
        <w:t>ten</w:t>
      </w:r>
      <w:r w:rsidR="0050191C">
        <w:t xml:space="preserve"> FBA staff from land management, conservation, social sciences, water quality and climate change professions. The updated CQSS2030 plan was then submitted for independent review (refer </w:t>
      </w:r>
      <w:r w:rsidR="00A62412">
        <w:t>Section</w:t>
      </w:r>
      <w:r w:rsidR="0050191C">
        <w:t xml:space="preserve"> 7), the outcomes from which will be used to inform future working group discussions and outcomes (refer </w:t>
      </w:r>
      <w:r w:rsidR="00A62412">
        <w:t>Section</w:t>
      </w:r>
      <w:r w:rsidR="0050191C">
        <w:t xml:space="preserve"> 8). Updates to the CQSS2030 website were developed in consultation with FBA’s communications specialists </w:t>
      </w:r>
      <w:proofErr w:type="gramStart"/>
      <w:r w:rsidR="0050191C">
        <w:t>and also</w:t>
      </w:r>
      <w:proofErr w:type="gramEnd"/>
      <w:r w:rsidR="0050191C">
        <w:t xml:space="preserve"> incorporated findings from </w:t>
      </w:r>
      <w:r w:rsidR="00A62412">
        <w:t>Section</w:t>
      </w:r>
      <w:r w:rsidR="0050191C">
        <w:t xml:space="preserve"> 6</w:t>
      </w:r>
      <w:r w:rsidR="006F2AFE">
        <w:t>e</w:t>
      </w:r>
      <w:r w:rsidR="0050191C">
        <w:t xml:space="preserve"> </w:t>
      </w:r>
      <w:r w:rsidR="006F2AFE">
        <w:t>below</w:t>
      </w:r>
      <w:r w:rsidR="0050191C">
        <w:t>. This ha</w:t>
      </w:r>
      <w:r w:rsidR="006251D0">
        <w:t>s</w:t>
      </w:r>
      <w:r w:rsidR="0050191C">
        <w:t xml:space="preserve"> resulted in a </w:t>
      </w:r>
      <w:r w:rsidR="006251D0">
        <w:t>significantly modified CQSS2030</w:t>
      </w:r>
      <w:r w:rsidR="0050191C">
        <w:t xml:space="preserve"> website.</w:t>
      </w:r>
    </w:p>
    <w:p w14:paraId="3C373DB8" w14:textId="09AB0862" w:rsidR="006F2AFE" w:rsidRDefault="00851759" w:rsidP="006F2AFE">
      <w:pPr>
        <w:pStyle w:val="Heading3"/>
        <w:numPr>
          <w:ilvl w:val="0"/>
          <w:numId w:val="13"/>
        </w:numPr>
        <w:ind w:left="360"/>
      </w:pPr>
      <w:r>
        <w:lastRenderedPageBreak/>
        <w:t>‘</w:t>
      </w:r>
      <w:r w:rsidR="006F2AFE">
        <w:t>State of</w:t>
      </w:r>
      <w:r>
        <w:t>’</w:t>
      </w:r>
      <w:r w:rsidR="006F2AFE">
        <w:t xml:space="preserve"> desktop review</w:t>
      </w:r>
    </w:p>
    <w:p w14:paraId="2E479649" w14:textId="719CB5BB" w:rsidR="006F2AFE" w:rsidRPr="0050191C" w:rsidRDefault="006F2AFE" w:rsidP="006F2AFE">
      <w:pPr>
        <w:spacing w:before="240"/>
        <w:ind w:left="360"/>
      </w:pPr>
      <w:r>
        <w:t xml:space="preserve">FBA staff responsible for writing content for the </w:t>
      </w:r>
      <w:r w:rsidR="00851759">
        <w:t xml:space="preserve">updated </w:t>
      </w:r>
      <w:r>
        <w:t xml:space="preserve">CQSS2030 website undertook </w:t>
      </w:r>
      <w:r w:rsidR="00851759">
        <w:t xml:space="preserve">additional </w:t>
      </w:r>
      <w:r>
        <w:t xml:space="preserve">desktop research </w:t>
      </w:r>
      <w:r w:rsidR="00851759">
        <w:t xml:space="preserve">on the current state of the environment, economy, </w:t>
      </w:r>
      <w:proofErr w:type="gramStart"/>
      <w:r w:rsidR="00851759">
        <w:t>society</w:t>
      </w:r>
      <w:proofErr w:type="gramEnd"/>
      <w:r w:rsidR="00851759">
        <w:t xml:space="preserve"> and climate reports</w:t>
      </w:r>
      <w:r>
        <w:t xml:space="preserve">. Preferred information sources were Australian and Queensland government department websites, </w:t>
      </w:r>
      <w:r w:rsidR="00851759">
        <w:t xml:space="preserve">and independent organisations whose reports are underpinned by reputable research. Where possible the most recent updates have been used and focus on information available between 2014 and 2021. A full list of references used to update CQSS2030 web content is contained in </w:t>
      </w:r>
      <w:commentRangeStart w:id="3"/>
      <w:r w:rsidR="00851759" w:rsidRPr="00851759">
        <w:rPr>
          <w:b/>
          <w:bCs/>
        </w:rPr>
        <w:t>Appendix H</w:t>
      </w:r>
      <w:commentRangeEnd w:id="3"/>
      <w:r w:rsidR="00851759">
        <w:rPr>
          <w:rStyle w:val="CommentReference"/>
        </w:rPr>
        <w:commentReference w:id="3"/>
      </w:r>
      <w:r w:rsidR="00851759">
        <w:t xml:space="preserve"> (many of these are also included under ‘More information’ throughout the CQSS2030 website).</w:t>
      </w:r>
    </w:p>
    <w:bookmarkEnd w:id="2"/>
    <w:p w14:paraId="36A37376" w14:textId="76D81B21" w:rsidR="00540F3E" w:rsidRDefault="00540F3E" w:rsidP="006C594E">
      <w:pPr>
        <w:spacing w:before="240"/>
        <w:rPr>
          <w:rFonts w:asciiTheme="majorHAnsi" w:eastAsiaTheme="majorEastAsia" w:hAnsiTheme="majorHAnsi" w:cstheme="majorBidi"/>
          <w:color w:val="2F5496" w:themeColor="accent1" w:themeShade="BF"/>
          <w:sz w:val="26"/>
          <w:szCs w:val="26"/>
        </w:rPr>
      </w:pPr>
      <w:r>
        <w:br w:type="page"/>
      </w:r>
    </w:p>
    <w:p w14:paraId="38F6C314" w14:textId="242FDAD8" w:rsidR="0094207C" w:rsidRDefault="0094207C" w:rsidP="0094207C">
      <w:pPr>
        <w:pStyle w:val="Heading2"/>
      </w:pPr>
      <w:r>
        <w:lastRenderedPageBreak/>
        <w:t xml:space="preserve">7 – Independent </w:t>
      </w:r>
      <w:r w:rsidR="00BC183F">
        <w:t xml:space="preserve">CQSS targets </w:t>
      </w:r>
      <w:r>
        <w:t>review</w:t>
      </w:r>
    </w:p>
    <w:p w14:paraId="41EF9E05" w14:textId="6E0B3652" w:rsidR="006E4A3E" w:rsidRDefault="00CE3B3C" w:rsidP="006E4A3E">
      <w:pPr>
        <w:spacing w:before="240"/>
        <w:rPr>
          <w:color w:val="000000" w:themeColor="text1"/>
        </w:rPr>
      </w:pPr>
      <w:r>
        <w:rPr>
          <w:color w:val="000000" w:themeColor="text1"/>
        </w:rPr>
        <w:t xml:space="preserve">In 2021, Fitzroy Basin Association contracted Eberhard Consulting to undertake an independent review of draft 2021 CQSS2030 targets. The review process was a rapid desktop exercise that considered and made recommendations about the draft 2021 targets. The initial review of draft targets assessed each draft target against SMART </w:t>
      </w:r>
      <w:proofErr w:type="gramStart"/>
      <w:r>
        <w:rPr>
          <w:color w:val="000000" w:themeColor="text1"/>
        </w:rPr>
        <w:t>criteria, and</w:t>
      </w:r>
      <w:proofErr w:type="gramEnd"/>
      <w:r>
        <w:rPr>
          <w:color w:val="000000" w:themeColor="text1"/>
        </w:rPr>
        <w:t xml:space="preserve"> considered critical linkages to higher level documents. Recommendations were made to keep, modify, replace, </w:t>
      </w:r>
      <w:proofErr w:type="gramStart"/>
      <w:r>
        <w:rPr>
          <w:color w:val="000000" w:themeColor="text1"/>
        </w:rPr>
        <w:t>discard</w:t>
      </w:r>
      <w:proofErr w:type="gramEnd"/>
      <w:r>
        <w:rPr>
          <w:color w:val="000000" w:themeColor="text1"/>
        </w:rPr>
        <w:t xml:space="preserve"> or add draft targets for further consideration by Fitzroy Basin Association and a broader technical expert panel.</w:t>
      </w:r>
    </w:p>
    <w:p w14:paraId="3F2FCA65" w14:textId="4B84FC2E" w:rsidR="00CE3B3C" w:rsidRPr="00CE3B3C" w:rsidRDefault="00CE3B3C" w:rsidP="006E4A3E">
      <w:pPr>
        <w:spacing w:before="240"/>
        <w:rPr>
          <w:color w:val="000000" w:themeColor="text1"/>
        </w:rPr>
      </w:pPr>
      <w:r w:rsidRPr="00CE3B3C">
        <w:rPr>
          <w:b/>
          <w:bCs/>
          <w:color w:val="000000" w:themeColor="text1"/>
        </w:rPr>
        <w:t xml:space="preserve">Appendix I </w:t>
      </w:r>
      <w:r>
        <w:rPr>
          <w:color w:val="000000" w:themeColor="text1"/>
        </w:rPr>
        <w:t xml:space="preserve">contains </w:t>
      </w:r>
      <w:r w:rsidR="00BC183F">
        <w:rPr>
          <w:color w:val="000000" w:themeColor="text1"/>
        </w:rPr>
        <w:t>excerpts</w:t>
      </w:r>
      <w:r>
        <w:rPr>
          <w:color w:val="000000" w:themeColor="text1"/>
        </w:rPr>
        <w:t xml:space="preserve"> from the review, recommended </w:t>
      </w:r>
      <w:proofErr w:type="gramStart"/>
      <w:r>
        <w:rPr>
          <w:color w:val="000000" w:themeColor="text1"/>
        </w:rPr>
        <w:t>targets</w:t>
      </w:r>
      <w:proofErr w:type="gramEnd"/>
      <w:r>
        <w:rPr>
          <w:color w:val="000000" w:themeColor="text1"/>
        </w:rPr>
        <w:t xml:space="preserve"> and a list of key linkages.</w:t>
      </w:r>
      <w:r w:rsidRPr="00CE3B3C">
        <w:rPr>
          <w:color w:val="000000" w:themeColor="text1"/>
        </w:rPr>
        <w:t xml:space="preserve"> </w:t>
      </w:r>
      <w:bookmarkStart w:id="4" w:name="_Hlk81305885"/>
      <w:r w:rsidR="00BC183F">
        <w:rPr>
          <w:color w:val="000000" w:themeColor="text1"/>
        </w:rPr>
        <w:t xml:space="preserve">Requests for a </w:t>
      </w:r>
      <w:r>
        <w:rPr>
          <w:color w:val="000000" w:themeColor="text1"/>
        </w:rPr>
        <w:t xml:space="preserve">full copy of the report can be made </w:t>
      </w:r>
      <w:r w:rsidR="00BC183F">
        <w:rPr>
          <w:color w:val="000000" w:themeColor="text1"/>
        </w:rPr>
        <w:t xml:space="preserve">to </w:t>
      </w:r>
      <w:hyperlink r:id="rId14" w:history="1">
        <w:r w:rsidR="00BC183F" w:rsidRPr="00BC183F">
          <w:rPr>
            <w:rStyle w:val="Hyperlink"/>
          </w:rPr>
          <w:t>Fitzroy Basin Association</w:t>
        </w:r>
      </w:hyperlink>
      <w:r>
        <w:rPr>
          <w:color w:val="000000" w:themeColor="text1"/>
        </w:rPr>
        <w:t>.</w:t>
      </w:r>
    </w:p>
    <w:bookmarkEnd w:id="4"/>
    <w:p w14:paraId="6745582E" w14:textId="77777777" w:rsidR="006E4A3E" w:rsidRDefault="006E4A3E">
      <w:pPr>
        <w:rPr>
          <w:rFonts w:asciiTheme="majorHAnsi" w:eastAsiaTheme="majorEastAsia" w:hAnsiTheme="majorHAnsi" w:cstheme="majorBidi"/>
          <w:color w:val="2F5496" w:themeColor="accent1" w:themeShade="BF"/>
          <w:sz w:val="26"/>
          <w:szCs w:val="26"/>
        </w:rPr>
      </w:pPr>
      <w:r>
        <w:br w:type="page"/>
      </w:r>
    </w:p>
    <w:p w14:paraId="6DA6A59D" w14:textId="6A54DA37" w:rsidR="0094207C" w:rsidRDefault="0094207C" w:rsidP="0094207C">
      <w:pPr>
        <w:pStyle w:val="Heading2"/>
      </w:pPr>
      <w:r>
        <w:lastRenderedPageBreak/>
        <w:t>8 – Recommendations from the 2018-21 CQSS 2030 review</w:t>
      </w:r>
    </w:p>
    <w:p w14:paraId="5DE0FB58" w14:textId="1B31B2B9" w:rsidR="00A4226C" w:rsidRDefault="00A4226C" w:rsidP="00925B4C"/>
    <w:p w14:paraId="55DEF49C" w14:textId="77777777" w:rsidR="00A55266" w:rsidRDefault="00A55266" w:rsidP="00A55266">
      <w:pPr>
        <w:rPr>
          <w:lang w:val="en-US"/>
        </w:rPr>
      </w:pPr>
      <w:bookmarkStart w:id="5" w:name="_Hlk78902670"/>
      <w:r>
        <w:rPr>
          <w:lang w:val="en-US"/>
        </w:rPr>
        <w:t xml:space="preserve">The health of our environment undoubtedly underpins our region’s economic, </w:t>
      </w:r>
      <w:proofErr w:type="gramStart"/>
      <w:r>
        <w:rPr>
          <w:lang w:val="en-US"/>
        </w:rPr>
        <w:t>social</w:t>
      </w:r>
      <w:proofErr w:type="gramEnd"/>
      <w:r>
        <w:rPr>
          <w:lang w:val="en-US"/>
        </w:rPr>
        <w:t xml:space="preserve"> and cultural wellbeing. The decisions and actions we take today and over the coming 10 years will determine how well our environment can support us and generations to come. We all want and need the same </w:t>
      </w:r>
      <w:proofErr w:type="gramStart"/>
      <w:r>
        <w:rPr>
          <w:lang w:val="en-US"/>
        </w:rPr>
        <w:t>things;</w:t>
      </w:r>
      <w:proofErr w:type="gramEnd"/>
      <w:r>
        <w:rPr>
          <w:lang w:val="en-US"/>
        </w:rPr>
        <w:t xml:space="preserve"> nutritious food, clean air and water, good health, happy families, secure jobs and strong communities.</w:t>
      </w:r>
    </w:p>
    <w:bookmarkEnd w:id="5"/>
    <w:p w14:paraId="655AE8C6" w14:textId="77777777" w:rsidR="00A55266" w:rsidRDefault="00A55266" w:rsidP="00A55266">
      <w:pPr>
        <w:rPr>
          <w:lang w:val="en-US"/>
        </w:rPr>
      </w:pPr>
      <w:r>
        <w:rPr>
          <w:lang w:val="en-US"/>
        </w:rPr>
        <w:t xml:space="preserve">We are in an enviable position geographically and historically. Our communities and landscapes have proven their resilience. Should we wish to, we have access to generations’ worth of knowledge, </w:t>
      </w:r>
      <w:proofErr w:type="gramStart"/>
      <w:r>
        <w:rPr>
          <w:lang w:val="en-US"/>
        </w:rPr>
        <w:t>skills</w:t>
      </w:r>
      <w:proofErr w:type="gramEnd"/>
      <w:r>
        <w:rPr>
          <w:lang w:val="en-US"/>
        </w:rPr>
        <w:t xml:space="preserve"> and science, as well as cutting-edge technology from around the globe, and the most data ever. While we are not without differences of opinion, historical and economic challenges, our region is mature enough to have hard conversations, make hard decisions and take critical action. We also know it will take all of us working together to find the best path and ensure we create a future worth having. </w:t>
      </w:r>
    </w:p>
    <w:p w14:paraId="6BA0E78B" w14:textId="77777777" w:rsidR="00A55266" w:rsidRDefault="00A55266" w:rsidP="00A55266">
      <w:pPr>
        <w:rPr>
          <w:lang w:val="en-US"/>
        </w:rPr>
      </w:pPr>
      <w:bookmarkStart w:id="6" w:name="_Hlk78902779"/>
      <w:r>
        <w:rPr>
          <w:lang w:val="en-US"/>
        </w:rPr>
        <w:t>T</w:t>
      </w:r>
      <w:r w:rsidRPr="009B126C">
        <w:rPr>
          <w:lang w:val="en-US"/>
        </w:rPr>
        <w:t xml:space="preserve">he </w:t>
      </w:r>
      <w:r>
        <w:rPr>
          <w:lang w:val="en-US"/>
        </w:rPr>
        <w:t>critical next</w:t>
      </w:r>
      <w:r w:rsidRPr="009B126C">
        <w:rPr>
          <w:lang w:val="en-US"/>
        </w:rPr>
        <w:t xml:space="preserve"> steps towards </w:t>
      </w:r>
      <w:r>
        <w:rPr>
          <w:lang w:val="en-US"/>
        </w:rPr>
        <w:t xml:space="preserve">implementing and achieving a </w:t>
      </w:r>
      <w:r w:rsidRPr="009B126C">
        <w:rPr>
          <w:lang w:val="en-US"/>
        </w:rPr>
        <w:t>sustainable future for Central Queensland</w:t>
      </w:r>
      <w:r>
        <w:rPr>
          <w:lang w:val="en-US"/>
        </w:rPr>
        <w:t xml:space="preserve"> </w:t>
      </w:r>
      <w:r w:rsidRPr="009B126C">
        <w:rPr>
          <w:lang w:val="en-US"/>
        </w:rPr>
        <w:t xml:space="preserve">bring together the recommendations and requests </w:t>
      </w:r>
      <w:r>
        <w:rPr>
          <w:lang w:val="en-US"/>
        </w:rPr>
        <w:t>received during the 2020-21 review of the CQSS2030 – a combination of over 1200</w:t>
      </w:r>
      <w:r w:rsidRPr="009B126C">
        <w:rPr>
          <w:lang w:val="en-US"/>
        </w:rPr>
        <w:t xml:space="preserve"> community responses to the 2020 natural assets survey, input from </w:t>
      </w:r>
      <w:r>
        <w:rPr>
          <w:lang w:val="en-US"/>
        </w:rPr>
        <w:t>more than 34</w:t>
      </w:r>
      <w:r w:rsidRPr="009B126C">
        <w:rPr>
          <w:lang w:val="en-US"/>
        </w:rPr>
        <w:t xml:space="preserve"> </w:t>
      </w:r>
      <w:r>
        <w:rPr>
          <w:lang w:val="en-US"/>
        </w:rPr>
        <w:t xml:space="preserve">technical specialists, recommendations from several of our region’s </w:t>
      </w:r>
      <w:r w:rsidRPr="009B126C">
        <w:rPr>
          <w:lang w:val="en-US"/>
        </w:rPr>
        <w:t>First Nations groups</w:t>
      </w:r>
      <w:r>
        <w:rPr>
          <w:lang w:val="en-US"/>
        </w:rPr>
        <w:t>, and what national and world scientists are calling for</w:t>
      </w:r>
      <w:r w:rsidRPr="009B126C">
        <w:rPr>
          <w:lang w:val="en-US"/>
        </w:rPr>
        <w:t xml:space="preserve">. </w:t>
      </w:r>
    </w:p>
    <w:bookmarkEnd w:id="6"/>
    <w:p w14:paraId="16DFA3C1" w14:textId="782FC50F" w:rsidR="00A55266" w:rsidRDefault="00A55266" w:rsidP="00A55266">
      <w:pPr>
        <w:rPr>
          <w:lang w:val="en-US"/>
        </w:rPr>
      </w:pPr>
      <w:r w:rsidRPr="009B126C">
        <w:rPr>
          <w:lang w:val="en-US"/>
        </w:rPr>
        <w:t xml:space="preserve">By </w:t>
      </w:r>
      <w:r>
        <w:rPr>
          <w:lang w:val="en-US"/>
        </w:rPr>
        <w:t>implementing</w:t>
      </w:r>
      <w:r w:rsidRPr="009B126C">
        <w:rPr>
          <w:lang w:val="en-US"/>
        </w:rPr>
        <w:t xml:space="preserve"> the critical next steps together, we </w:t>
      </w:r>
      <w:r>
        <w:rPr>
          <w:lang w:val="en-US"/>
        </w:rPr>
        <w:t xml:space="preserve">can </w:t>
      </w:r>
      <w:r w:rsidRPr="009B126C">
        <w:rPr>
          <w:lang w:val="en-US"/>
        </w:rPr>
        <w:t xml:space="preserve">ensure CQSS2030 does not become just another strategy. Rather, we ensure that </w:t>
      </w:r>
      <w:r>
        <w:rPr>
          <w:lang w:val="en-US"/>
        </w:rPr>
        <w:t xml:space="preserve">in 2030 </w:t>
      </w:r>
      <w:r w:rsidRPr="009B126C">
        <w:rPr>
          <w:lang w:val="en-US"/>
        </w:rPr>
        <w:t xml:space="preserve">we all look back proud </w:t>
      </w:r>
      <w:r>
        <w:rPr>
          <w:lang w:val="en-US"/>
        </w:rPr>
        <w:t>that</w:t>
      </w:r>
      <w:r w:rsidRPr="009B126C">
        <w:rPr>
          <w:lang w:val="en-US"/>
        </w:rPr>
        <w:t xml:space="preserve"> we took bold and well-</w:t>
      </w:r>
      <w:r>
        <w:rPr>
          <w:lang w:val="en-US"/>
        </w:rPr>
        <w:t>informed</w:t>
      </w:r>
      <w:r w:rsidRPr="009B126C">
        <w:rPr>
          <w:lang w:val="en-US"/>
        </w:rPr>
        <w:t xml:space="preserve"> </w:t>
      </w:r>
      <w:r>
        <w:rPr>
          <w:lang w:val="en-US"/>
        </w:rPr>
        <w:t>action. That together, we ensured</w:t>
      </w:r>
      <w:r w:rsidRPr="009B126C">
        <w:rPr>
          <w:lang w:val="en-US"/>
        </w:rPr>
        <w:t xml:space="preserve"> the future of our region </w:t>
      </w:r>
      <w:r>
        <w:rPr>
          <w:lang w:val="en-US"/>
        </w:rPr>
        <w:t>for ourselves</w:t>
      </w:r>
      <w:r w:rsidR="000A3C13">
        <w:rPr>
          <w:lang w:val="en-US"/>
        </w:rPr>
        <w:t>,</w:t>
      </w:r>
      <w:r>
        <w:rPr>
          <w:lang w:val="en-US"/>
        </w:rPr>
        <w:t xml:space="preserve"> </w:t>
      </w:r>
      <w:r w:rsidRPr="009B126C">
        <w:rPr>
          <w:lang w:val="en-US"/>
        </w:rPr>
        <w:t xml:space="preserve">our </w:t>
      </w:r>
      <w:r>
        <w:rPr>
          <w:lang w:val="en-US"/>
        </w:rPr>
        <w:t>grandchildren’s children</w:t>
      </w:r>
      <w:r w:rsidR="000A3C13">
        <w:rPr>
          <w:lang w:val="en-US"/>
        </w:rPr>
        <w:t>,</w:t>
      </w:r>
      <w:r>
        <w:rPr>
          <w:lang w:val="en-US"/>
        </w:rPr>
        <w:t xml:space="preserve"> and </w:t>
      </w:r>
      <w:r w:rsidR="000A3C13">
        <w:rPr>
          <w:lang w:val="en-US"/>
        </w:rPr>
        <w:t xml:space="preserve">well </w:t>
      </w:r>
      <w:r>
        <w:rPr>
          <w:lang w:val="en-US"/>
        </w:rPr>
        <w:t>beyond</w:t>
      </w:r>
      <w:r w:rsidRPr="009B126C">
        <w:rPr>
          <w:lang w:val="en-US"/>
        </w:rPr>
        <w:t>.</w:t>
      </w:r>
    </w:p>
    <w:p w14:paraId="1C99D817" w14:textId="77777777" w:rsidR="00A55266" w:rsidRPr="00331F5C" w:rsidRDefault="00A55266" w:rsidP="00A55266">
      <w:pPr>
        <w:pStyle w:val="Heading2"/>
        <w:rPr>
          <w:lang w:val="en-US"/>
        </w:rPr>
      </w:pPr>
      <w:r w:rsidRPr="00331F5C">
        <w:rPr>
          <w:lang w:val="en-US"/>
        </w:rPr>
        <w:t xml:space="preserve">Critical </w:t>
      </w:r>
      <w:r>
        <w:rPr>
          <w:lang w:val="en-US"/>
        </w:rPr>
        <w:t>n</w:t>
      </w:r>
      <w:r w:rsidRPr="00331F5C">
        <w:rPr>
          <w:lang w:val="en-US"/>
        </w:rPr>
        <w:t>ext steps</w:t>
      </w:r>
    </w:p>
    <w:p w14:paraId="5503ADF1" w14:textId="7A95282E" w:rsidR="00A55266" w:rsidRPr="009B126C" w:rsidRDefault="00A55266" w:rsidP="00A55266">
      <w:pPr>
        <w:rPr>
          <w:lang w:val="en-US"/>
        </w:rPr>
      </w:pPr>
      <w:bookmarkStart w:id="7" w:name="_Hlk78902687"/>
      <w:r w:rsidRPr="009B126C">
        <w:rPr>
          <w:lang w:val="en-US"/>
        </w:rPr>
        <w:t>By October 2022 establish</w:t>
      </w:r>
      <w:r>
        <w:rPr>
          <w:lang w:val="en-US"/>
        </w:rPr>
        <w:t xml:space="preserve"> eight</w:t>
      </w:r>
      <w:r w:rsidRPr="009B126C">
        <w:rPr>
          <w:lang w:val="en-US"/>
        </w:rPr>
        <w:t xml:space="preserve"> regional working groups </w:t>
      </w:r>
      <w:r w:rsidR="000A3C13">
        <w:rPr>
          <w:lang w:val="en-US"/>
        </w:rPr>
        <w:t xml:space="preserve">(outlined overleaf) </w:t>
      </w:r>
      <w:r w:rsidRPr="009B126C">
        <w:rPr>
          <w:lang w:val="en-US"/>
        </w:rPr>
        <w:t>who:</w:t>
      </w:r>
    </w:p>
    <w:p w14:paraId="0934CA40" w14:textId="77777777" w:rsidR="00A55266" w:rsidRDefault="00A55266" w:rsidP="00A55266">
      <w:pPr>
        <w:pStyle w:val="ListParagraph"/>
        <w:numPr>
          <w:ilvl w:val="1"/>
          <w:numId w:val="1"/>
        </w:numPr>
        <w:rPr>
          <w:lang w:val="en-US"/>
        </w:rPr>
      </w:pPr>
      <w:r w:rsidRPr="009B126C">
        <w:rPr>
          <w:lang w:val="en-US"/>
        </w:rPr>
        <w:t>further the reach and influence of CQSS2030</w:t>
      </w:r>
    </w:p>
    <w:p w14:paraId="493FA89B" w14:textId="77777777" w:rsidR="00A55266" w:rsidRDefault="00A55266" w:rsidP="00A55266">
      <w:pPr>
        <w:pStyle w:val="ListParagraph"/>
        <w:numPr>
          <w:ilvl w:val="1"/>
          <w:numId w:val="1"/>
        </w:numPr>
        <w:rPr>
          <w:lang w:val="en-US"/>
        </w:rPr>
      </w:pPr>
      <w:r>
        <w:rPr>
          <w:lang w:val="en-US"/>
        </w:rPr>
        <w:t>establish monitoring and reporting against all CQSS2030 targets</w:t>
      </w:r>
    </w:p>
    <w:p w14:paraId="2A34145B" w14:textId="77777777" w:rsidR="00A55266" w:rsidRDefault="00A55266" w:rsidP="00A55266">
      <w:pPr>
        <w:pStyle w:val="ListParagraph"/>
        <w:numPr>
          <w:ilvl w:val="1"/>
          <w:numId w:val="1"/>
        </w:numPr>
        <w:rPr>
          <w:lang w:val="en-US"/>
        </w:rPr>
      </w:pPr>
      <w:r>
        <w:rPr>
          <w:lang w:val="en-US"/>
        </w:rPr>
        <w:t>ensure the CQSS2030 is informed by and implemented with cross-sector and cross-cultural approaches that combine industry best practice, world-leading science, the wisdom of First Nations’ knowledge and the input of our regional, State, Australian and global citizens.</w:t>
      </w:r>
    </w:p>
    <w:bookmarkEnd w:id="7"/>
    <w:p w14:paraId="2AFDBCEE" w14:textId="77777777" w:rsidR="00A55266" w:rsidRDefault="00A55266" w:rsidP="00A55266">
      <w:pPr>
        <w:rPr>
          <w:lang w:val="en-US"/>
        </w:rPr>
      </w:pPr>
    </w:p>
    <w:p w14:paraId="6345B014" w14:textId="120AFDDC" w:rsidR="00A55266" w:rsidRDefault="00A55266" w:rsidP="00A55266">
      <w:pPr>
        <w:rPr>
          <w:b/>
          <w:bCs/>
          <w:lang w:val="en-US"/>
        </w:rPr>
      </w:pPr>
      <w:r>
        <w:rPr>
          <w:b/>
          <w:bCs/>
          <w:lang w:val="en-US"/>
        </w:rPr>
        <w:br w:type="page"/>
      </w:r>
    </w:p>
    <w:p w14:paraId="0380E342" w14:textId="77777777" w:rsidR="00A55266" w:rsidRDefault="00A55266" w:rsidP="00A55266">
      <w:pPr>
        <w:rPr>
          <w:b/>
          <w:bCs/>
          <w:lang w:val="en-US"/>
        </w:rPr>
        <w:sectPr w:rsidR="00A55266" w:rsidSect="00331F5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p w14:paraId="029B155A" w14:textId="77777777" w:rsidR="00A55266" w:rsidRPr="0011351D" w:rsidRDefault="00A55266" w:rsidP="00A55266">
      <w:pPr>
        <w:pStyle w:val="Heading2"/>
        <w:rPr>
          <w:lang w:val="en-US"/>
        </w:rPr>
      </w:pPr>
      <w:r>
        <w:rPr>
          <w:lang w:val="en-US"/>
        </w:rPr>
        <w:lastRenderedPageBreak/>
        <w:t xml:space="preserve">The </w:t>
      </w:r>
      <w:r w:rsidRPr="0011351D">
        <w:rPr>
          <w:lang w:val="en-US"/>
        </w:rPr>
        <w:t>working groups</w:t>
      </w:r>
    </w:p>
    <w:tbl>
      <w:tblPr>
        <w:tblStyle w:val="TableGrid"/>
        <w:tblW w:w="0" w:type="auto"/>
        <w:tblLook w:val="04A0" w:firstRow="1" w:lastRow="0" w:firstColumn="1" w:lastColumn="0" w:noHBand="0" w:noVBand="1"/>
      </w:tblPr>
      <w:tblGrid>
        <w:gridCol w:w="1980"/>
        <w:gridCol w:w="4111"/>
        <w:gridCol w:w="3402"/>
        <w:gridCol w:w="2409"/>
        <w:gridCol w:w="1843"/>
      </w:tblGrid>
      <w:tr w:rsidR="00A55266" w:rsidRPr="00331F5C" w14:paraId="0AF2EE1D" w14:textId="77777777" w:rsidTr="001C1601">
        <w:tc>
          <w:tcPr>
            <w:tcW w:w="1980" w:type="dxa"/>
          </w:tcPr>
          <w:p w14:paraId="128EBDEB" w14:textId="77777777" w:rsidR="00A55266" w:rsidRPr="00331F5C" w:rsidRDefault="00A55266" w:rsidP="001C1601">
            <w:pPr>
              <w:spacing w:before="240"/>
              <w:rPr>
                <w:b/>
                <w:bCs/>
                <w:sz w:val="18"/>
                <w:szCs w:val="18"/>
                <w:lang w:val="en-US"/>
              </w:rPr>
            </w:pPr>
            <w:r w:rsidRPr="00331F5C">
              <w:rPr>
                <w:b/>
                <w:bCs/>
                <w:sz w:val="18"/>
                <w:szCs w:val="18"/>
                <w:lang w:val="en-US"/>
              </w:rPr>
              <w:t>Working Group (WG)</w:t>
            </w:r>
          </w:p>
        </w:tc>
        <w:tc>
          <w:tcPr>
            <w:tcW w:w="4111" w:type="dxa"/>
          </w:tcPr>
          <w:p w14:paraId="091897E6" w14:textId="77777777" w:rsidR="00A55266" w:rsidRPr="00331F5C" w:rsidRDefault="00A55266" w:rsidP="001C1601">
            <w:pPr>
              <w:spacing w:before="240"/>
              <w:rPr>
                <w:b/>
                <w:bCs/>
                <w:sz w:val="18"/>
                <w:szCs w:val="18"/>
                <w:lang w:val="en-US"/>
              </w:rPr>
            </w:pPr>
            <w:r w:rsidRPr="00331F5C">
              <w:rPr>
                <w:b/>
                <w:bCs/>
                <w:sz w:val="18"/>
                <w:szCs w:val="18"/>
                <w:lang w:val="en-US"/>
              </w:rPr>
              <w:t>Foundational objectives</w:t>
            </w:r>
          </w:p>
        </w:tc>
        <w:tc>
          <w:tcPr>
            <w:tcW w:w="3402" w:type="dxa"/>
          </w:tcPr>
          <w:p w14:paraId="0F880D87" w14:textId="77777777" w:rsidR="00A55266" w:rsidRPr="00331F5C" w:rsidRDefault="00A55266" w:rsidP="001C1601">
            <w:pPr>
              <w:spacing w:before="240"/>
              <w:rPr>
                <w:b/>
                <w:bCs/>
                <w:sz w:val="18"/>
                <w:szCs w:val="18"/>
                <w:lang w:val="en-US"/>
              </w:rPr>
            </w:pPr>
            <w:r w:rsidRPr="00331F5C">
              <w:rPr>
                <w:b/>
                <w:bCs/>
                <w:sz w:val="18"/>
                <w:szCs w:val="18"/>
                <w:lang w:val="en-US"/>
              </w:rPr>
              <w:t>Outputs by June 2023</w:t>
            </w:r>
          </w:p>
        </w:tc>
        <w:tc>
          <w:tcPr>
            <w:tcW w:w="2409" w:type="dxa"/>
          </w:tcPr>
          <w:p w14:paraId="717BA5A5" w14:textId="77777777" w:rsidR="00A55266" w:rsidRPr="00331F5C" w:rsidRDefault="00A55266" w:rsidP="001C1601">
            <w:pPr>
              <w:spacing w:before="240"/>
              <w:rPr>
                <w:b/>
                <w:bCs/>
                <w:sz w:val="18"/>
                <w:szCs w:val="18"/>
                <w:lang w:val="en-US"/>
              </w:rPr>
            </w:pPr>
            <w:r w:rsidRPr="00331F5C">
              <w:rPr>
                <w:b/>
                <w:bCs/>
                <w:sz w:val="18"/>
                <w:szCs w:val="18"/>
                <w:lang w:val="en-US"/>
              </w:rPr>
              <w:t>Key partners</w:t>
            </w:r>
          </w:p>
        </w:tc>
        <w:tc>
          <w:tcPr>
            <w:tcW w:w="1843" w:type="dxa"/>
          </w:tcPr>
          <w:p w14:paraId="2F8E8E39" w14:textId="77777777" w:rsidR="00A55266" w:rsidRPr="00331F5C" w:rsidRDefault="00A55266" w:rsidP="001C1601">
            <w:pPr>
              <w:spacing w:before="240"/>
              <w:rPr>
                <w:b/>
                <w:bCs/>
                <w:sz w:val="18"/>
                <w:szCs w:val="18"/>
                <w:lang w:val="en-US"/>
              </w:rPr>
            </w:pPr>
            <w:r w:rsidRPr="00331F5C">
              <w:rPr>
                <w:b/>
                <w:bCs/>
                <w:sz w:val="18"/>
                <w:szCs w:val="18"/>
                <w:lang w:val="en-US"/>
              </w:rPr>
              <w:t>Working group establishment coordinator</w:t>
            </w:r>
          </w:p>
        </w:tc>
      </w:tr>
      <w:tr w:rsidR="00A55266" w:rsidRPr="00331F5C" w14:paraId="789B1ED5" w14:textId="77777777" w:rsidTr="001C1601">
        <w:tc>
          <w:tcPr>
            <w:tcW w:w="1980" w:type="dxa"/>
          </w:tcPr>
          <w:p w14:paraId="24A57400" w14:textId="77777777" w:rsidR="00A55266" w:rsidRPr="00331F5C" w:rsidRDefault="00A55266" w:rsidP="001C1601">
            <w:pPr>
              <w:spacing w:before="240"/>
              <w:rPr>
                <w:sz w:val="18"/>
                <w:szCs w:val="18"/>
                <w:lang w:val="en-US"/>
              </w:rPr>
            </w:pPr>
            <w:r w:rsidRPr="00331F5C">
              <w:rPr>
                <w:sz w:val="18"/>
                <w:szCs w:val="18"/>
                <w:lang w:val="en-US"/>
              </w:rPr>
              <w:t>Health and wellbeing</w:t>
            </w:r>
          </w:p>
        </w:tc>
        <w:tc>
          <w:tcPr>
            <w:tcW w:w="4111" w:type="dxa"/>
          </w:tcPr>
          <w:p w14:paraId="7A5FF6F1" w14:textId="77777777" w:rsidR="00A55266" w:rsidRPr="00331F5C" w:rsidRDefault="00A55266" w:rsidP="001C1601">
            <w:pPr>
              <w:spacing w:before="240"/>
              <w:rPr>
                <w:sz w:val="18"/>
                <w:szCs w:val="18"/>
                <w:lang w:val="en-US"/>
              </w:rPr>
            </w:pPr>
            <w:r w:rsidRPr="00331F5C">
              <w:rPr>
                <w:sz w:val="18"/>
                <w:szCs w:val="18"/>
                <w:lang w:val="en-US"/>
              </w:rPr>
              <w:t>- determine and promote best business management practices by business type</w:t>
            </w:r>
          </w:p>
          <w:p w14:paraId="4E917EAD" w14:textId="77777777" w:rsidR="00A55266" w:rsidRPr="00331F5C" w:rsidRDefault="00A55266" w:rsidP="001C1601">
            <w:pPr>
              <w:spacing w:before="240"/>
              <w:rPr>
                <w:sz w:val="18"/>
                <w:szCs w:val="18"/>
                <w:lang w:val="en-US"/>
              </w:rPr>
            </w:pPr>
            <w:r w:rsidRPr="00331F5C">
              <w:rPr>
                <w:sz w:val="18"/>
                <w:szCs w:val="18"/>
                <w:lang w:val="en-US"/>
              </w:rPr>
              <w:t>- determine metrics and baseline for regional health and wellbeing targets</w:t>
            </w:r>
          </w:p>
          <w:p w14:paraId="3EB587E4" w14:textId="77777777" w:rsidR="00A55266" w:rsidRPr="00331F5C" w:rsidRDefault="00A55266" w:rsidP="001C1601">
            <w:pPr>
              <w:spacing w:before="240"/>
              <w:rPr>
                <w:sz w:val="18"/>
                <w:szCs w:val="18"/>
                <w:lang w:val="en-US"/>
              </w:rPr>
            </w:pPr>
            <w:r w:rsidRPr="00331F5C">
              <w:rPr>
                <w:sz w:val="18"/>
                <w:szCs w:val="18"/>
                <w:lang w:val="en-US"/>
              </w:rPr>
              <w:t xml:space="preserve">- </w:t>
            </w:r>
            <w:proofErr w:type="spellStart"/>
            <w:r w:rsidRPr="00331F5C">
              <w:rPr>
                <w:sz w:val="18"/>
                <w:szCs w:val="18"/>
                <w:lang w:val="en-US"/>
              </w:rPr>
              <w:t>contextualise</w:t>
            </w:r>
            <w:proofErr w:type="spellEnd"/>
            <w:r w:rsidRPr="00331F5C">
              <w:rPr>
                <w:sz w:val="18"/>
                <w:szCs w:val="18"/>
                <w:lang w:val="en-US"/>
              </w:rPr>
              <w:t xml:space="preserve"> and communicate projected weather changes and mitigation through trusted pathways</w:t>
            </w:r>
          </w:p>
        </w:tc>
        <w:tc>
          <w:tcPr>
            <w:tcW w:w="3402" w:type="dxa"/>
          </w:tcPr>
          <w:p w14:paraId="552B15E3" w14:textId="77777777" w:rsidR="00A55266" w:rsidRPr="00331F5C" w:rsidRDefault="00A55266" w:rsidP="001C1601">
            <w:pPr>
              <w:spacing w:before="240"/>
              <w:rPr>
                <w:sz w:val="18"/>
                <w:szCs w:val="18"/>
                <w:lang w:val="en-US"/>
              </w:rPr>
            </w:pPr>
            <w:r w:rsidRPr="00331F5C">
              <w:rPr>
                <w:sz w:val="18"/>
                <w:szCs w:val="18"/>
                <w:lang w:val="en-US"/>
              </w:rPr>
              <w:t>M&amp;R framework for CQSS big picture targets</w:t>
            </w:r>
          </w:p>
          <w:p w14:paraId="70F37A0E" w14:textId="77777777" w:rsidR="00A55266" w:rsidRPr="00331F5C" w:rsidRDefault="00A55266" w:rsidP="001C1601">
            <w:pPr>
              <w:spacing w:before="240"/>
              <w:rPr>
                <w:sz w:val="18"/>
                <w:szCs w:val="18"/>
                <w:lang w:val="en-US"/>
              </w:rPr>
            </w:pPr>
            <w:r w:rsidRPr="00331F5C">
              <w:rPr>
                <w:sz w:val="18"/>
                <w:szCs w:val="18"/>
                <w:lang w:val="en-US"/>
              </w:rPr>
              <w:t>??something about regional readiness for climate change strategy?</w:t>
            </w:r>
          </w:p>
        </w:tc>
        <w:tc>
          <w:tcPr>
            <w:tcW w:w="2409" w:type="dxa"/>
          </w:tcPr>
          <w:p w14:paraId="479E6E0F" w14:textId="77777777" w:rsidR="00A55266" w:rsidRPr="00331F5C" w:rsidRDefault="00A55266" w:rsidP="001C1601">
            <w:pPr>
              <w:spacing w:before="240"/>
              <w:rPr>
                <w:sz w:val="18"/>
                <w:szCs w:val="18"/>
                <w:lang w:val="en-US"/>
              </w:rPr>
            </w:pPr>
            <w:r w:rsidRPr="00331F5C">
              <w:rPr>
                <w:sz w:val="18"/>
                <w:szCs w:val="18"/>
                <w:lang w:val="en-US"/>
              </w:rPr>
              <w:t>First Nations WG</w:t>
            </w:r>
          </w:p>
          <w:p w14:paraId="23F122C6" w14:textId="77777777" w:rsidR="00A55266" w:rsidRPr="00331F5C" w:rsidRDefault="00A55266" w:rsidP="001C1601">
            <w:pPr>
              <w:spacing w:before="240"/>
              <w:rPr>
                <w:sz w:val="18"/>
                <w:szCs w:val="18"/>
                <w:lang w:val="en-US"/>
              </w:rPr>
            </w:pPr>
            <w:r w:rsidRPr="00331F5C">
              <w:rPr>
                <w:sz w:val="18"/>
                <w:szCs w:val="18"/>
                <w:lang w:val="en-US"/>
              </w:rPr>
              <w:t>All 6 natural asset WG</w:t>
            </w:r>
          </w:p>
          <w:p w14:paraId="74CFB9ED" w14:textId="77777777" w:rsidR="00A55266" w:rsidRPr="00331F5C" w:rsidRDefault="00A55266" w:rsidP="001C1601">
            <w:pPr>
              <w:spacing w:before="240"/>
              <w:rPr>
                <w:sz w:val="18"/>
                <w:szCs w:val="18"/>
                <w:lang w:val="en-US"/>
              </w:rPr>
            </w:pPr>
            <w:r w:rsidRPr="00331F5C">
              <w:rPr>
                <w:sz w:val="18"/>
                <w:szCs w:val="18"/>
                <w:lang w:val="en-US"/>
              </w:rPr>
              <w:t>Queensland Health</w:t>
            </w:r>
          </w:p>
          <w:p w14:paraId="601CBB8C" w14:textId="77777777" w:rsidR="00A55266" w:rsidRPr="00331F5C" w:rsidRDefault="00A55266" w:rsidP="001C1601">
            <w:pPr>
              <w:spacing w:before="240"/>
              <w:rPr>
                <w:sz w:val="18"/>
                <w:szCs w:val="18"/>
                <w:lang w:val="en-US"/>
              </w:rPr>
            </w:pPr>
            <w:r w:rsidRPr="00331F5C">
              <w:rPr>
                <w:sz w:val="18"/>
                <w:szCs w:val="18"/>
                <w:lang w:val="en-US"/>
              </w:rPr>
              <w:t>Regional development corporations</w:t>
            </w:r>
          </w:p>
          <w:p w14:paraId="4953CCD7" w14:textId="77777777" w:rsidR="00A55266" w:rsidRPr="00331F5C" w:rsidRDefault="00A55266" w:rsidP="001C1601">
            <w:pPr>
              <w:spacing w:before="240"/>
              <w:rPr>
                <w:sz w:val="18"/>
                <w:szCs w:val="18"/>
                <w:lang w:val="en-US"/>
              </w:rPr>
            </w:pPr>
            <w:r w:rsidRPr="00331F5C">
              <w:rPr>
                <w:sz w:val="18"/>
                <w:szCs w:val="18"/>
                <w:lang w:val="en-US"/>
              </w:rPr>
              <w:t>Regional councils</w:t>
            </w:r>
          </w:p>
          <w:p w14:paraId="2EE62BEC" w14:textId="77777777" w:rsidR="00A55266" w:rsidRPr="00331F5C" w:rsidRDefault="00A55266" w:rsidP="001C1601">
            <w:pPr>
              <w:spacing w:before="240"/>
              <w:rPr>
                <w:sz w:val="18"/>
                <w:szCs w:val="18"/>
                <w:lang w:val="en-US"/>
              </w:rPr>
            </w:pPr>
            <w:r w:rsidRPr="00331F5C">
              <w:rPr>
                <w:sz w:val="18"/>
                <w:szCs w:val="18"/>
                <w:lang w:val="en-US"/>
              </w:rPr>
              <w:t>Universities</w:t>
            </w:r>
          </w:p>
        </w:tc>
        <w:tc>
          <w:tcPr>
            <w:tcW w:w="1843" w:type="dxa"/>
          </w:tcPr>
          <w:p w14:paraId="4F2FD214" w14:textId="77777777" w:rsidR="00A55266" w:rsidRPr="00331F5C" w:rsidRDefault="00A55266" w:rsidP="001C1601">
            <w:pPr>
              <w:spacing w:before="240"/>
              <w:rPr>
                <w:sz w:val="18"/>
                <w:szCs w:val="18"/>
                <w:lang w:val="en-US"/>
              </w:rPr>
            </w:pPr>
            <w:r w:rsidRPr="00331F5C">
              <w:rPr>
                <w:sz w:val="18"/>
                <w:szCs w:val="18"/>
                <w:lang w:val="en-US"/>
              </w:rPr>
              <w:t>FBA Regional Engagement Coordinator</w:t>
            </w:r>
          </w:p>
        </w:tc>
      </w:tr>
      <w:tr w:rsidR="00A55266" w:rsidRPr="00331F5C" w14:paraId="30E8A7CC" w14:textId="77777777" w:rsidTr="001C1601">
        <w:tc>
          <w:tcPr>
            <w:tcW w:w="1980" w:type="dxa"/>
          </w:tcPr>
          <w:p w14:paraId="71FABBD9" w14:textId="77777777" w:rsidR="00A55266" w:rsidRPr="00331F5C" w:rsidRDefault="00A55266" w:rsidP="001C1601">
            <w:pPr>
              <w:spacing w:before="240"/>
              <w:rPr>
                <w:sz w:val="18"/>
                <w:szCs w:val="18"/>
                <w:lang w:val="en-US"/>
              </w:rPr>
            </w:pPr>
            <w:commentRangeStart w:id="8"/>
            <w:r w:rsidRPr="00331F5C">
              <w:rPr>
                <w:sz w:val="18"/>
                <w:szCs w:val="18"/>
                <w:lang w:val="en-US"/>
              </w:rPr>
              <w:t>First Nations</w:t>
            </w:r>
          </w:p>
        </w:tc>
        <w:tc>
          <w:tcPr>
            <w:tcW w:w="4111" w:type="dxa"/>
          </w:tcPr>
          <w:p w14:paraId="3B057861" w14:textId="77777777" w:rsidR="00A55266" w:rsidRDefault="00A55266" w:rsidP="001C1601">
            <w:pPr>
              <w:spacing w:before="240"/>
              <w:rPr>
                <w:sz w:val="18"/>
                <w:szCs w:val="18"/>
                <w:lang w:val="en-US"/>
              </w:rPr>
            </w:pPr>
            <w:r w:rsidRPr="00331F5C">
              <w:rPr>
                <w:sz w:val="18"/>
                <w:szCs w:val="18"/>
                <w:lang w:val="en-US"/>
              </w:rPr>
              <w:t xml:space="preserve">- </w:t>
            </w:r>
            <w:r>
              <w:rPr>
                <w:sz w:val="18"/>
                <w:szCs w:val="18"/>
                <w:lang w:val="en-US"/>
              </w:rPr>
              <w:t xml:space="preserve">Enable and support First Nation partnerships and traditional alliances to participate in the WG </w:t>
            </w:r>
          </w:p>
          <w:p w14:paraId="5BE80784" w14:textId="77777777" w:rsidR="00A55266" w:rsidRDefault="00A55266" w:rsidP="001C1601">
            <w:pPr>
              <w:spacing w:before="240"/>
              <w:rPr>
                <w:sz w:val="18"/>
                <w:szCs w:val="18"/>
                <w:lang w:val="en-US"/>
              </w:rPr>
            </w:pPr>
            <w:r>
              <w:rPr>
                <w:sz w:val="18"/>
                <w:szCs w:val="18"/>
                <w:lang w:val="en-US"/>
              </w:rPr>
              <w:t xml:space="preserve">- co-design culturally </w:t>
            </w:r>
            <w:r w:rsidRPr="00331F5C">
              <w:rPr>
                <w:sz w:val="18"/>
                <w:szCs w:val="18"/>
                <w:lang w:val="en-US"/>
              </w:rPr>
              <w:t>appropriate processes and systems for the identification, management, monitoring &amp; reporting of</w:t>
            </w:r>
            <w:r>
              <w:rPr>
                <w:sz w:val="18"/>
                <w:szCs w:val="18"/>
                <w:lang w:val="en-US"/>
              </w:rPr>
              <w:t xml:space="preserve"> the health of</w:t>
            </w:r>
            <w:r w:rsidRPr="00331F5C">
              <w:rPr>
                <w:sz w:val="18"/>
                <w:szCs w:val="18"/>
                <w:lang w:val="en-US"/>
              </w:rPr>
              <w:t xml:space="preserve"> culturally significant species and sites within the region</w:t>
            </w:r>
          </w:p>
          <w:p w14:paraId="6F752A78" w14:textId="77777777" w:rsidR="00A55266" w:rsidRDefault="00A55266" w:rsidP="001C1601">
            <w:pPr>
              <w:spacing w:before="240"/>
              <w:rPr>
                <w:sz w:val="18"/>
                <w:szCs w:val="18"/>
                <w:lang w:val="en-US"/>
              </w:rPr>
            </w:pPr>
            <w:r w:rsidRPr="00331F5C">
              <w:rPr>
                <w:sz w:val="18"/>
                <w:szCs w:val="18"/>
                <w:lang w:val="en-US"/>
              </w:rPr>
              <w:t>- review and inform objectives/outputs of 6 natural assets groups</w:t>
            </w:r>
          </w:p>
          <w:p w14:paraId="7CEB1D6C" w14:textId="77777777" w:rsidR="00A55266" w:rsidRDefault="00A55266" w:rsidP="001C1601">
            <w:pPr>
              <w:spacing w:before="240"/>
              <w:rPr>
                <w:sz w:val="18"/>
                <w:szCs w:val="18"/>
                <w:lang w:val="en-US"/>
              </w:rPr>
            </w:pPr>
            <w:r>
              <w:rPr>
                <w:sz w:val="18"/>
                <w:szCs w:val="18"/>
                <w:lang w:val="en-US"/>
              </w:rPr>
              <w:t>- Development of a draft ‘Regional First Nations state of our Country monitoring and reporting plan.’</w:t>
            </w:r>
          </w:p>
          <w:p w14:paraId="62D4C4B9" w14:textId="77777777" w:rsidR="00A55266" w:rsidRPr="00331F5C" w:rsidRDefault="00A55266" w:rsidP="001C1601">
            <w:pPr>
              <w:spacing w:before="240"/>
              <w:rPr>
                <w:sz w:val="18"/>
                <w:szCs w:val="18"/>
                <w:lang w:val="en-US"/>
              </w:rPr>
            </w:pPr>
            <w:r>
              <w:rPr>
                <w:sz w:val="18"/>
                <w:szCs w:val="18"/>
                <w:lang w:val="en-US"/>
              </w:rPr>
              <w:t>- advocate for and resource the implementation of the regional plan by First Nations</w:t>
            </w:r>
          </w:p>
          <w:p w14:paraId="178BDD3A" w14:textId="77777777" w:rsidR="00A55266" w:rsidRPr="00331F5C" w:rsidRDefault="00A55266" w:rsidP="001C1601">
            <w:pPr>
              <w:spacing w:before="240"/>
              <w:rPr>
                <w:sz w:val="18"/>
                <w:szCs w:val="18"/>
                <w:lang w:val="en-US"/>
              </w:rPr>
            </w:pPr>
          </w:p>
        </w:tc>
        <w:tc>
          <w:tcPr>
            <w:tcW w:w="3402" w:type="dxa"/>
          </w:tcPr>
          <w:p w14:paraId="6BB2C2C0" w14:textId="77777777" w:rsidR="00A55266" w:rsidRDefault="00A55266" w:rsidP="001C1601">
            <w:pPr>
              <w:spacing w:before="240"/>
              <w:rPr>
                <w:sz w:val="18"/>
                <w:szCs w:val="18"/>
                <w:lang w:val="en-US"/>
              </w:rPr>
            </w:pPr>
            <w:r>
              <w:rPr>
                <w:sz w:val="18"/>
                <w:szCs w:val="18"/>
                <w:lang w:val="en-US"/>
              </w:rPr>
              <w:t xml:space="preserve">FPIC process undertaken with 16 First Nations </w:t>
            </w:r>
          </w:p>
          <w:p w14:paraId="43E620EF" w14:textId="77777777" w:rsidR="00A55266" w:rsidRDefault="00A55266" w:rsidP="001C1601">
            <w:pPr>
              <w:spacing w:before="240"/>
              <w:rPr>
                <w:sz w:val="18"/>
                <w:szCs w:val="18"/>
                <w:lang w:val="en-US"/>
              </w:rPr>
            </w:pPr>
            <w:r>
              <w:rPr>
                <w:sz w:val="18"/>
                <w:szCs w:val="18"/>
                <w:lang w:val="en-US"/>
              </w:rPr>
              <w:t>Resourcing identified to support participation of representatives of 16 First Nations in WG</w:t>
            </w:r>
          </w:p>
          <w:p w14:paraId="6E8A3AED" w14:textId="77777777" w:rsidR="00A55266" w:rsidRDefault="00A55266" w:rsidP="001C1601">
            <w:pPr>
              <w:spacing w:before="240"/>
              <w:rPr>
                <w:sz w:val="18"/>
                <w:szCs w:val="18"/>
                <w:lang w:val="en-US"/>
              </w:rPr>
            </w:pPr>
            <w:r>
              <w:rPr>
                <w:sz w:val="18"/>
                <w:szCs w:val="18"/>
                <w:lang w:val="en-US"/>
              </w:rPr>
              <w:t>Development and endorsement of WG Terms of Reference</w:t>
            </w:r>
          </w:p>
          <w:p w14:paraId="48038897" w14:textId="77777777" w:rsidR="00A55266" w:rsidRDefault="00A55266" w:rsidP="001C1601">
            <w:pPr>
              <w:spacing w:before="240"/>
              <w:rPr>
                <w:sz w:val="18"/>
                <w:szCs w:val="18"/>
                <w:lang w:val="en-US"/>
              </w:rPr>
            </w:pPr>
            <w:r>
              <w:rPr>
                <w:sz w:val="18"/>
                <w:szCs w:val="18"/>
                <w:lang w:val="en-US"/>
              </w:rPr>
              <w:t>Workshops to co-design frameworks and develop regional plan</w:t>
            </w:r>
          </w:p>
          <w:p w14:paraId="4A9BD150" w14:textId="77777777" w:rsidR="00A55266" w:rsidRPr="00331F5C" w:rsidRDefault="00A55266" w:rsidP="001C1601">
            <w:pPr>
              <w:spacing w:before="240"/>
              <w:rPr>
                <w:sz w:val="18"/>
                <w:szCs w:val="18"/>
                <w:lang w:val="en-US"/>
              </w:rPr>
            </w:pPr>
            <w:r w:rsidRPr="00331F5C">
              <w:rPr>
                <w:sz w:val="18"/>
                <w:szCs w:val="18"/>
                <w:lang w:val="en-US"/>
              </w:rPr>
              <w:t>Draft Regional First Nations state of our country monitoring and reporting plan</w:t>
            </w:r>
          </w:p>
          <w:p w14:paraId="56B9B657" w14:textId="77777777" w:rsidR="00A55266" w:rsidRPr="00331F5C" w:rsidRDefault="00A55266" w:rsidP="001C1601">
            <w:pPr>
              <w:spacing w:before="240"/>
              <w:rPr>
                <w:sz w:val="18"/>
                <w:szCs w:val="18"/>
                <w:lang w:val="en-US"/>
              </w:rPr>
            </w:pPr>
            <w:r w:rsidRPr="00331F5C">
              <w:rPr>
                <w:sz w:val="18"/>
                <w:szCs w:val="18"/>
                <w:lang w:val="en-US"/>
              </w:rPr>
              <w:t>Review of 6 natural assets working group outputs</w:t>
            </w:r>
          </w:p>
        </w:tc>
        <w:tc>
          <w:tcPr>
            <w:tcW w:w="2409" w:type="dxa"/>
          </w:tcPr>
          <w:p w14:paraId="2D94FE00" w14:textId="77777777" w:rsidR="00A55266" w:rsidRPr="00331F5C" w:rsidRDefault="00A55266" w:rsidP="001C1601">
            <w:pPr>
              <w:spacing w:before="240"/>
              <w:rPr>
                <w:sz w:val="18"/>
                <w:szCs w:val="18"/>
                <w:lang w:val="en-US"/>
              </w:rPr>
            </w:pPr>
            <w:r w:rsidRPr="00331F5C">
              <w:rPr>
                <w:sz w:val="18"/>
                <w:szCs w:val="18"/>
                <w:lang w:val="en-US"/>
              </w:rPr>
              <w:t>Health and wellbeing WG</w:t>
            </w:r>
          </w:p>
          <w:p w14:paraId="47E10A09" w14:textId="77777777" w:rsidR="00A55266" w:rsidRPr="00331F5C" w:rsidRDefault="00A55266" w:rsidP="001C1601">
            <w:pPr>
              <w:spacing w:before="240"/>
              <w:rPr>
                <w:sz w:val="18"/>
                <w:szCs w:val="18"/>
                <w:lang w:val="en-US"/>
              </w:rPr>
            </w:pPr>
            <w:r w:rsidRPr="00331F5C">
              <w:rPr>
                <w:sz w:val="18"/>
                <w:szCs w:val="18"/>
                <w:lang w:val="en-US"/>
              </w:rPr>
              <w:t>First Nations peoples</w:t>
            </w:r>
          </w:p>
          <w:p w14:paraId="1F4AD26A" w14:textId="77777777" w:rsidR="00A55266" w:rsidRPr="00331F5C" w:rsidRDefault="00A55266" w:rsidP="001C1601">
            <w:pPr>
              <w:spacing w:before="240"/>
              <w:rPr>
                <w:sz w:val="18"/>
                <w:szCs w:val="18"/>
                <w:lang w:val="en-US"/>
              </w:rPr>
            </w:pPr>
          </w:p>
        </w:tc>
        <w:tc>
          <w:tcPr>
            <w:tcW w:w="1843" w:type="dxa"/>
          </w:tcPr>
          <w:p w14:paraId="1476E981" w14:textId="77777777" w:rsidR="00A55266" w:rsidRPr="00331F5C" w:rsidRDefault="00A55266" w:rsidP="001C1601">
            <w:pPr>
              <w:spacing w:before="240"/>
              <w:rPr>
                <w:sz w:val="18"/>
                <w:szCs w:val="18"/>
                <w:lang w:val="en-US"/>
              </w:rPr>
            </w:pPr>
            <w:r w:rsidRPr="00331F5C">
              <w:rPr>
                <w:sz w:val="18"/>
                <w:szCs w:val="18"/>
                <w:lang w:val="en-US"/>
              </w:rPr>
              <w:t>FBA Indigenous Engagement Coordinator</w:t>
            </w:r>
            <w:commentRangeEnd w:id="8"/>
            <w:r w:rsidR="008F73FA">
              <w:rPr>
                <w:rStyle w:val="CommentReference"/>
              </w:rPr>
              <w:commentReference w:id="8"/>
            </w:r>
          </w:p>
        </w:tc>
      </w:tr>
      <w:tr w:rsidR="00A55266" w:rsidRPr="00331F5C" w14:paraId="5B51DE0A" w14:textId="77777777" w:rsidTr="001C1601">
        <w:tc>
          <w:tcPr>
            <w:tcW w:w="1980" w:type="dxa"/>
          </w:tcPr>
          <w:p w14:paraId="6879FDD8" w14:textId="77777777" w:rsidR="00A55266" w:rsidRPr="00331F5C" w:rsidRDefault="00A55266" w:rsidP="001C1601">
            <w:pPr>
              <w:spacing w:before="240"/>
              <w:rPr>
                <w:sz w:val="18"/>
                <w:szCs w:val="18"/>
                <w:lang w:val="en-US"/>
              </w:rPr>
            </w:pPr>
            <w:r w:rsidRPr="00331F5C">
              <w:rPr>
                <w:sz w:val="18"/>
                <w:szCs w:val="18"/>
                <w:lang w:val="en-US"/>
              </w:rPr>
              <w:lastRenderedPageBreak/>
              <w:t>Air – technical/science panel*</w:t>
            </w:r>
          </w:p>
        </w:tc>
        <w:tc>
          <w:tcPr>
            <w:tcW w:w="4111" w:type="dxa"/>
          </w:tcPr>
          <w:p w14:paraId="2B0C4546" w14:textId="77777777" w:rsidR="00A55266" w:rsidRPr="00331F5C" w:rsidRDefault="00A55266" w:rsidP="001C1601">
            <w:pPr>
              <w:spacing w:before="240"/>
              <w:rPr>
                <w:sz w:val="18"/>
                <w:szCs w:val="18"/>
                <w:lang w:val="en-US"/>
              </w:rPr>
            </w:pPr>
            <w:r w:rsidRPr="00331F5C">
              <w:rPr>
                <w:sz w:val="18"/>
                <w:szCs w:val="18"/>
                <w:lang w:val="en-US"/>
              </w:rPr>
              <w:t>- increase regional greenspace and decrease airborne pollutants</w:t>
            </w:r>
          </w:p>
          <w:p w14:paraId="10CA674C" w14:textId="77777777" w:rsidR="00A55266" w:rsidRPr="00331F5C" w:rsidRDefault="00A55266" w:rsidP="001C1601">
            <w:pPr>
              <w:spacing w:before="240"/>
              <w:rPr>
                <w:sz w:val="18"/>
                <w:szCs w:val="18"/>
                <w:lang w:val="en-US"/>
              </w:rPr>
            </w:pPr>
            <w:r w:rsidRPr="00331F5C">
              <w:rPr>
                <w:sz w:val="18"/>
                <w:szCs w:val="18"/>
                <w:lang w:val="en-US"/>
              </w:rPr>
              <w:t>- identify and secure access to appropriate health statistics to report against relevant CQSS targets</w:t>
            </w:r>
          </w:p>
          <w:p w14:paraId="3FE9926B" w14:textId="77777777" w:rsidR="00A55266" w:rsidRPr="00331F5C" w:rsidRDefault="00A55266" w:rsidP="001C1601">
            <w:pPr>
              <w:spacing w:before="240"/>
              <w:rPr>
                <w:sz w:val="18"/>
                <w:szCs w:val="18"/>
                <w:lang w:val="en-US"/>
              </w:rPr>
            </w:pPr>
            <w:r w:rsidRPr="00331F5C">
              <w:rPr>
                <w:sz w:val="18"/>
                <w:szCs w:val="18"/>
                <w:lang w:val="en-US"/>
              </w:rPr>
              <w:t>- identify and secure access to data sets that map region’s air quality</w:t>
            </w:r>
          </w:p>
          <w:p w14:paraId="7EA2FB78" w14:textId="77777777" w:rsidR="00A55266" w:rsidRPr="00331F5C" w:rsidRDefault="00A55266" w:rsidP="001C1601">
            <w:pPr>
              <w:spacing w:before="240"/>
              <w:rPr>
                <w:sz w:val="18"/>
                <w:szCs w:val="18"/>
                <w:lang w:val="en-US"/>
              </w:rPr>
            </w:pPr>
            <w:r w:rsidRPr="00331F5C">
              <w:rPr>
                <w:sz w:val="18"/>
                <w:szCs w:val="18"/>
                <w:lang w:val="en-US"/>
              </w:rPr>
              <w:t>- identify and establish priority air monitoring sites across region</w:t>
            </w:r>
          </w:p>
        </w:tc>
        <w:tc>
          <w:tcPr>
            <w:tcW w:w="3402" w:type="dxa"/>
          </w:tcPr>
          <w:p w14:paraId="4D961A50" w14:textId="77777777" w:rsidR="00A55266" w:rsidRPr="00331F5C" w:rsidRDefault="00A55266" w:rsidP="001C1601">
            <w:pPr>
              <w:spacing w:before="240"/>
              <w:rPr>
                <w:sz w:val="18"/>
                <w:szCs w:val="18"/>
                <w:lang w:val="en-US"/>
              </w:rPr>
            </w:pPr>
            <w:r w:rsidRPr="00331F5C">
              <w:rPr>
                <w:sz w:val="18"/>
                <w:szCs w:val="18"/>
                <w:lang w:val="en-US"/>
              </w:rPr>
              <w:t>Access to health indicator data</w:t>
            </w:r>
          </w:p>
          <w:p w14:paraId="127C4250" w14:textId="77777777" w:rsidR="00A55266" w:rsidRPr="00331F5C" w:rsidRDefault="00A55266" w:rsidP="001C1601">
            <w:pPr>
              <w:spacing w:before="240"/>
              <w:rPr>
                <w:sz w:val="18"/>
                <w:szCs w:val="18"/>
                <w:lang w:val="en-US"/>
              </w:rPr>
            </w:pPr>
            <w:r w:rsidRPr="00331F5C">
              <w:rPr>
                <w:sz w:val="18"/>
                <w:szCs w:val="18"/>
                <w:lang w:val="en-US"/>
              </w:rPr>
              <w:t xml:space="preserve">M&amp;R framework for CQSS air targets </w:t>
            </w:r>
          </w:p>
          <w:p w14:paraId="4408A2F8" w14:textId="77777777" w:rsidR="00A55266" w:rsidRPr="00331F5C" w:rsidRDefault="00A55266" w:rsidP="001C1601">
            <w:pPr>
              <w:spacing w:before="240"/>
              <w:rPr>
                <w:sz w:val="18"/>
                <w:szCs w:val="18"/>
                <w:lang w:val="en-US"/>
              </w:rPr>
            </w:pPr>
            <w:r w:rsidRPr="00331F5C">
              <w:rPr>
                <w:sz w:val="18"/>
                <w:szCs w:val="18"/>
                <w:lang w:val="en-US"/>
              </w:rPr>
              <w:t>Monitoring and reporting stations across region</w:t>
            </w:r>
          </w:p>
          <w:p w14:paraId="1A60EEDF" w14:textId="77777777" w:rsidR="00A55266" w:rsidRPr="00331F5C" w:rsidRDefault="00A55266" w:rsidP="001C1601">
            <w:pPr>
              <w:spacing w:before="240"/>
              <w:rPr>
                <w:sz w:val="18"/>
                <w:szCs w:val="18"/>
                <w:lang w:val="en-US"/>
              </w:rPr>
            </w:pPr>
          </w:p>
        </w:tc>
        <w:tc>
          <w:tcPr>
            <w:tcW w:w="2409" w:type="dxa"/>
          </w:tcPr>
          <w:p w14:paraId="13B88E45" w14:textId="77777777" w:rsidR="00A55266" w:rsidRPr="00331F5C" w:rsidRDefault="00A55266" w:rsidP="001C1601">
            <w:pPr>
              <w:spacing w:before="240"/>
              <w:rPr>
                <w:sz w:val="18"/>
                <w:szCs w:val="18"/>
                <w:lang w:val="en-US"/>
              </w:rPr>
            </w:pPr>
            <w:r w:rsidRPr="00331F5C">
              <w:rPr>
                <w:sz w:val="18"/>
                <w:szCs w:val="18"/>
                <w:lang w:val="en-US"/>
              </w:rPr>
              <w:t>Health and wellbeing WG</w:t>
            </w:r>
          </w:p>
          <w:p w14:paraId="2A36BBD1" w14:textId="77777777" w:rsidR="00A55266" w:rsidRPr="00331F5C" w:rsidRDefault="00A55266" w:rsidP="001C1601">
            <w:pPr>
              <w:spacing w:before="240"/>
              <w:rPr>
                <w:sz w:val="18"/>
                <w:szCs w:val="18"/>
                <w:lang w:val="en-US"/>
              </w:rPr>
            </w:pPr>
            <w:r w:rsidRPr="00331F5C">
              <w:rPr>
                <w:sz w:val="18"/>
                <w:szCs w:val="18"/>
                <w:lang w:val="en-US"/>
              </w:rPr>
              <w:t>Soil WG</w:t>
            </w:r>
          </w:p>
          <w:p w14:paraId="10D01719" w14:textId="77777777" w:rsidR="00A55266" w:rsidRPr="00331F5C" w:rsidRDefault="00A55266" w:rsidP="001C1601">
            <w:pPr>
              <w:spacing w:before="240"/>
              <w:rPr>
                <w:sz w:val="18"/>
                <w:szCs w:val="18"/>
                <w:lang w:val="en-US"/>
              </w:rPr>
            </w:pPr>
            <w:r w:rsidRPr="00331F5C">
              <w:rPr>
                <w:sz w:val="18"/>
                <w:szCs w:val="18"/>
                <w:lang w:val="en-US"/>
              </w:rPr>
              <w:t>Terrestrial WG</w:t>
            </w:r>
          </w:p>
          <w:p w14:paraId="1A12C937" w14:textId="77777777" w:rsidR="00A55266" w:rsidRPr="00331F5C" w:rsidRDefault="00A55266" w:rsidP="001C1601">
            <w:pPr>
              <w:spacing w:before="240"/>
              <w:rPr>
                <w:sz w:val="18"/>
                <w:szCs w:val="18"/>
                <w:lang w:val="en-US"/>
              </w:rPr>
            </w:pPr>
            <w:r w:rsidRPr="00331F5C">
              <w:rPr>
                <w:sz w:val="18"/>
                <w:szCs w:val="18"/>
                <w:lang w:val="en-US"/>
              </w:rPr>
              <w:t>Regional councils</w:t>
            </w:r>
          </w:p>
          <w:p w14:paraId="5DBE001F" w14:textId="77777777" w:rsidR="00A55266" w:rsidRPr="00331F5C" w:rsidRDefault="00A55266" w:rsidP="001C1601">
            <w:pPr>
              <w:spacing w:before="240"/>
              <w:rPr>
                <w:sz w:val="18"/>
                <w:szCs w:val="18"/>
                <w:lang w:val="en-US"/>
              </w:rPr>
            </w:pPr>
            <w:r w:rsidRPr="00331F5C">
              <w:rPr>
                <w:sz w:val="18"/>
                <w:szCs w:val="18"/>
                <w:lang w:val="en-US"/>
              </w:rPr>
              <w:t xml:space="preserve">Mining, </w:t>
            </w:r>
            <w:proofErr w:type="gramStart"/>
            <w:r w:rsidRPr="00331F5C">
              <w:rPr>
                <w:sz w:val="18"/>
                <w:szCs w:val="18"/>
                <w:lang w:val="en-US"/>
              </w:rPr>
              <w:t>energy</w:t>
            </w:r>
            <w:proofErr w:type="gramEnd"/>
            <w:r w:rsidRPr="00331F5C">
              <w:rPr>
                <w:sz w:val="18"/>
                <w:szCs w:val="18"/>
                <w:lang w:val="en-US"/>
              </w:rPr>
              <w:t xml:space="preserve"> and transport industry </w:t>
            </w:r>
          </w:p>
          <w:p w14:paraId="5D17877E" w14:textId="77777777" w:rsidR="00A55266" w:rsidRPr="00331F5C" w:rsidRDefault="00A55266" w:rsidP="001C1601">
            <w:pPr>
              <w:spacing w:before="240"/>
              <w:rPr>
                <w:sz w:val="18"/>
                <w:szCs w:val="18"/>
                <w:lang w:val="en-US"/>
              </w:rPr>
            </w:pPr>
            <w:r w:rsidRPr="00331F5C">
              <w:rPr>
                <w:sz w:val="18"/>
                <w:szCs w:val="18"/>
                <w:lang w:val="en-US"/>
              </w:rPr>
              <w:t>NPI</w:t>
            </w:r>
          </w:p>
        </w:tc>
        <w:tc>
          <w:tcPr>
            <w:tcW w:w="1843" w:type="dxa"/>
          </w:tcPr>
          <w:p w14:paraId="6AB5CBA1" w14:textId="77777777" w:rsidR="00A55266" w:rsidRPr="00331F5C" w:rsidRDefault="00A55266" w:rsidP="001C1601">
            <w:pPr>
              <w:spacing w:before="240"/>
              <w:rPr>
                <w:sz w:val="18"/>
                <w:szCs w:val="18"/>
                <w:lang w:val="en-US"/>
              </w:rPr>
            </w:pPr>
            <w:proofErr w:type="gramStart"/>
            <w:r w:rsidRPr="00331F5C">
              <w:rPr>
                <w:sz w:val="18"/>
                <w:szCs w:val="18"/>
                <w:lang w:val="en-US"/>
              </w:rPr>
              <w:t>?GHHP</w:t>
            </w:r>
            <w:proofErr w:type="gramEnd"/>
            <w:r w:rsidRPr="00331F5C">
              <w:rPr>
                <w:sz w:val="18"/>
                <w:szCs w:val="18"/>
                <w:lang w:val="en-US"/>
              </w:rPr>
              <w:t xml:space="preserve"> Executive Officer</w:t>
            </w:r>
          </w:p>
        </w:tc>
      </w:tr>
      <w:tr w:rsidR="00A55266" w:rsidRPr="00331F5C" w14:paraId="38F1F6CF" w14:textId="77777777" w:rsidTr="001C1601">
        <w:tc>
          <w:tcPr>
            <w:tcW w:w="1980" w:type="dxa"/>
          </w:tcPr>
          <w:p w14:paraId="6EC01DD1" w14:textId="77777777" w:rsidR="00A55266" w:rsidRPr="00331F5C" w:rsidRDefault="00A55266" w:rsidP="001C1601">
            <w:pPr>
              <w:spacing w:before="240"/>
              <w:rPr>
                <w:sz w:val="18"/>
                <w:szCs w:val="18"/>
                <w:lang w:val="en-US"/>
              </w:rPr>
            </w:pPr>
            <w:r w:rsidRPr="00331F5C">
              <w:rPr>
                <w:sz w:val="18"/>
                <w:szCs w:val="18"/>
                <w:lang w:val="en-US"/>
              </w:rPr>
              <w:t>Soil – technical/science panel*</w:t>
            </w:r>
          </w:p>
        </w:tc>
        <w:tc>
          <w:tcPr>
            <w:tcW w:w="4111" w:type="dxa"/>
          </w:tcPr>
          <w:p w14:paraId="5B44C240" w14:textId="77777777" w:rsidR="00A55266" w:rsidRPr="00331F5C" w:rsidRDefault="00A55266" w:rsidP="001C1601">
            <w:pPr>
              <w:spacing w:before="240"/>
              <w:rPr>
                <w:sz w:val="18"/>
                <w:szCs w:val="18"/>
                <w:lang w:val="en-US"/>
              </w:rPr>
            </w:pPr>
            <w:r w:rsidRPr="00331F5C">
              <w:rPr>
                <w:sz w:val="18"/>
                <w:szCs w:val="18"/>
                <w:lang w:val="en-US"/>
              </w:rPr>
              <w:t xml:space="preserve">- determine best management practices by land/soil type and </w:t>
            </w:r>
            <w:proofErr w:type="spellStart"/>
            <w:r w:rsidRPr="00331F5C">
              <w:rPr>
                <w:sz w:val="18"/>
                <w:szCs w:val="18"/>
                <w:lang w:val="en-US"/>
              </w:rPr>
              <w:t>landuse</w:t>
            </w:r>
            <w:proofErr w:type="spellEnd"/>
            <w:r w:rsidRPr="00331F5C">
              <w:rPr>
                <w:sz w:val="18"/>
                <w:szCs w:val="18"/>
                <w:lang w:val="en-US"/>
              </w:rPr>
              <w:t xml:space="preserve"> (incl. end of dry season recommended biomass, </w:t>
            </w:r>
            <w:proofErr w:type="gramStart"/>
            <w:r w:rsidRPr="00331F5C">
              <w:rPr>
                <w:sz w:val="18"/>
                <w:szCs w:val="18"/>
                <w:lang w:val="en-US"/>
              </w:rPr>
              <w:t>indicators</w:t>
            </w:r>
            <w:proofErr w:type="gramEnd"/>
            <w:r w:rsidRPr="00331F5C">
              <w:rPr>
                <w:sz w:val="18"/>
                <w:szCs w:val="18"/>
                <w:lang w:val="en-US"/>
              </w:rPr>
              <w:t xml:space="preserve"> and standards for soil health)</w:t>
            </w:r>
          </w:p>
          <w:p w14:paraId="77DCFDAB" w14:textId="77777777" w:rsidR="00A55266" w:rsidRPr="00331F5C" w:rsidRDefault="00A55266" w:rsidP="001C1601">
            <w:pPr>
              <w:spacing w:before="240"/>
              <w:rPr>
                <w:sz w:val="18"/>
                <w:szCs w:val="18"/>
                <w:lang w:val="en-US"/>
              </w:rPr>
            </w:pPr>
            <w:r w:rsidRPr="00331F5C">
              <w:rPr>
                <w:sz w:val="18"/>
                <w:szCs w:val="18"/>
                <w:lang w:val="en-US"/>
              </w:rPr>
              <w:t>- identify and secure access to data sets that map region’s active/next erosion, salinity/problem sites and healthy/high value soils</w:t>
            </w:r>
          </w:p>
        </w:tc>
        <w:tc>
          <w:tcPr>
            <w:tcW w:w="3402" w:type="dxa"/>
          </w:tcPr>
          <w:p w14:paraId="73FC82F4" w14:textId="77777777" w:rsidR="00A55266" w:rsidRPr="00331F5C" w:rsidRDefault="00A55266" w:rsidP="001C1601">
            <w:pPr>
              <w:spacing w:before="240"/>
              <w:rPr>
                <w:sz w:val="18"/>
                <w:szCs w:val="18"/>
                <w:lang w:val="en-US"/>
              </w:rPr>
            </w:pPr>
            <w:r w:rsidRPr="00331F5C">
              <w:rPr>
                <w:sz w:val="18"/>
                <w:szCs w:val="18"/>
                <w:lang w:val="en-US"/>
              </w:rPr>
              <w:t>Soil BMP standards</w:t>
            </w:r>
          </w:p>
          <w:p w14:paraId="3938B1F8" w14:textId="77777777" w:rsidR="00A55266" w:rsidRPr="00331F5C" w:rsidRDefault="00A55266" w:rsidP="001C1601">
            <w:pPr>
              <w:spacing w:before="240"/>
              <w:rPr>
                <w:sz w:val="18"/>
                <w:szCs w:val="18"/>
                <w:lang w:val="en-US"/>
              </w:rPr>
            </w:pPr>
            <w:r w:rsidRPr="00331F5C">
              <w:rPr>
                <w:sz w:val="18"/>
                <w:szCs w:val="18"/>
                <w:lang w:val="en-US"/>
              </w:rPr>
              <w:t>Collated map</w:t>
            </w:r>
          </w:p>
          <w:p w14:paraId="4F103D27" w14:textId="77777777" w:rsidR="00A55266" w:rsidRPr="00331F5C" w:rsidRDefault="00A55266" w:rsidP="001C1601">
            <w:pPr>
              <w:spacing w:before="240"/>
              <w:rPr>
                <w:sz w:val="18"/>
                <w:szCs w:val="18"/>
                <w:lang w:val="en-US"/>
              </w:rPr>
            </w:pPr>
            <w:r w:rsidRPr="00331F5C">
              <w:rPr>
                <w:sz w:val="18"/>
                <w:szCs w:val="18"/>
                <w:lang w:val="en-US"/>
              </w:rPr>
              <w:t>M&amp;R framework for CQSS soil targets</w:t>
            </w:r>
          </w:p>
        </w:tc>
        <w:tc>
          <w:tcPr>
            <w:tcW w:w="2409" w:type="dxa"/>
          </w:tcPr>
          <w:p w14:paraId="3D06D4A3" w14:textId="77777777" w:rsidR="00A55266" w:rsidRPr="00331F5C" w:rsidRDefault="00A55266" w:rsidP="001C1601">
            <w:pPr>
              <w:spacing w:before="240"/>
              <w:rPr>
                <w:sz w:val="18"/>
                <w:szCs w:val="18"/>
                <w:lang w:val="en-US"/>
              </w:rPr>
            </w:pPr>
            <w:r w:rsidRPr="00331F5C">
              <w:rPr>
                <w:sz w:val="18"/>
                <w:szCs w:val="18"/>
                <w:lang w:val="en-US"/>
              </w:rPr>
              <w:t>Air WG</w:t>
            </w:r>
          </w:p>
          <w:p w14:paraId="4A185864" w14:textId="77777777" w:rsidR="00A55266" w:rsidRPr="00331F5C" w:rsidRDefault="00A55266" w:rsidP="001C1601">
            <w:pPr>
              <w:spacing w:before="240"/>
              <w:rPr>
                <w:sz w:val="18"/>
                <w:szCs w:val="18"/>
                <w:lang w:val="en-US"/>
              </w:rPr>
            </w:pPr>
            <w:r w:rsidRPr="00331F5C">
              <w:rPr>
                <w:sz w:val="18"/>
                <w:szCs w:val="18"/>
                <w:lang w:val="en-US"/>
              </w:rPr>
              <w:t>Terrestrial WG</w:t>
            </w:r>
          </w:p>
          <w:p w14:paraId="2303D2BD" w14:textId="77777777" w:rsidR="00A55266" w:rsidRPr="00331F5C" w:rsidRDefault="00A55266" w:rsidP="001C1601">
            <w:pPr>
              <w:spacing w:before="240"/>
              <w:rPr>
                <w:sz w:val="18"/>
                <w:szCs w:val="18"/>
                <w:lang w:val="en-US"/>
              </w:rPr>
            </w:pPr>
            <w:r w:rsidRPr="00331F5C">
              <w:rPr>
                <w:sz w:val="18"/>
                <w:szCs w:val="18"/>
                <w:lang w:val="en-US"/>
              </w:rPr>
              <w:t xml:space="preserve">Agricultural and mining industry </w:t>
            </w:r>
          </w:p>
          <w:p w14:paraId="64B87167" w14:textId="77777777" w:rsidR="00A55266" w:rsidRPr="00331F5C" w:rsidRDefault="00A55266" w:rsidP="001C1601">
            <w:pPr>
              <w:spacing w:before="240"/>
              <w:rPr>
                <w:sz w:val="18"/>
                <w:szCs w:val="18"/>
                <w:lang w:val="en-US"/>
              </w:rPr>
            </w:pPr>
            <w:r w:rsidRPr="00331F5C">
              <w:rPr>
                <w:sz w:val="18"/>
                <w:szCs w:val="18"/>
                <w:lang w:val="en-US"/>
              </w:rPr>
              <w:t>Fire ecologists</w:t>
            </w:r>
          </w:p>
        </w:tc>
        <w:tc>
          <w:tcPr>
            <w:tcW w:w="1843" w:type="dxa"/>
          </w:tcPr>
          <w:p w14:paraId="12E366F8" w14:textId="77777777" w:rsidR="00A55266" w:rsidRPr="00331F5C" w:rsidRDefault="00A55266" w:rsidP="001C1601">
            <w:pPr>
              <w:spacing w:before="240"/>
              <w:rPr>
                <w:sz w:val="18"/>
                <w:szCs w:val="18"/>
                <w:lang w:val="en-US"/>
              </w:rPr>
            </w:pPr>
            <w:r w:rsidRPr="00331F5C">
              <w:rPr>
                <w:sz w:val="18"/>
                <w:szCs w:val="18"/>
                <w:lang w:val="en-US"/>
              </w:rPr>
              <w:t>FBA NRM Team leader</w:t>
            </w:r>
          </w:p>
        </w:tc>
      </w:tr>
      <w:tr w:rsidR="00A55266" w:rsidRPr="00331F5C" w14:paraId="78B9D45B" w14:textId="77777777" w:rsidTr="001C1601">
        <w:tc>
          <w:tcPr>
            <w:tcW w:w="1980" w:type="dxa"/>
          </w:tcPr>
          <w:p w14:paraId="35963E50" w14:textId="77777777" w:rsidR="00A55266" w:rsidRPr="00331F5C" w:rsidRDefault="00A55266" w:rsidP="001C1601">
            <w:pPr>
              <w:spacing w:before="240"/>
              <w:rPr>
                <w:sz w:val="18"/>
                <w:szCs w:val="18"/>
                <w:lang w:val="en-US"/>
              </w:rPr>
            </w:pPr>
            <w:proofErr w:type="spellStart"/>
            <w:r w:rsidRPr="00331F5C">
              <w:rPr>
                <w:sz w:val="18"/>
                <w:szCs w:val="18"/>
                <w:lang w:val="en-US"/>
              </w:rPr>
              <w:t>Landbased</w:t>
            </w:r>
            <w:proofErr w:type="spellEnd"/>
            <w:r w:rsidRPr="00331F5C">
              <w:rPr>
                <w:sz w:val="18"/>
                <w:szCs w:val="18"/>
                <w:lang w:val="en-US"/>
              </w:rPr>
              <w:t xml:space="preserve"> – technical/science panel*</w:t>
            </w:r>
          </w:p>
        </w:tc>
        <w:tc>
          <w:tcPr>
            <w:tcW w:w="4111" w:type="dxa"/>
          </w:tcPr>
          <w:p w14:paraId="5FE1581B" w14:textId="77777777" w:rsidR="00A55266" w:rsidRPr="00331F5C" w:rsidRDefault="00A55266" w:rsidP="001C1601">
            <w:pPr>
              <w:spacing w:before="240"/>
              <w:rPr>
                <w:sz w:val="18"/>
                <w:szCs w:val="18"/>
                <w:lang w:val="en-US"/>
              </w:rPr>
            </w:pPr>
            <w:r w:rsidRPr="00331F5C">
              <w:rPr>
                <w:sz w:val="18"/>
                <w:szCs w:val="18"/>
                <w:lang w:val="en-US"/>
              </w:rPr>
              <w:t xml:space="preserve">- determine keystone species, metrics to </w:t>
            </w:r>
            <w:proofErr w:type="spellStart"/>
            <w:r w:rsidRPr="00331F5C">
              <w:rPr>
                <w:sz w:val="18"/>
                <w:szCs w:val="18"/>
                <w:lang w:val="en-US"/>
              </w:rPr>
              <w:t>categorise</w:t>
            </w:r>
            <w:proofErr w:type="spellEnd"/>
            <w:r w:rsidRPr="00331F5C">
              <w:rPr>
                <w:sz w:val="18"/>
                <w:szCs w:val="18"/>
                <w:lang w:val="en-US"/>
              </w:rPr>
              <w:t xml:space="preserve"> valuable vegetation in landscape (for habitat and services), criteria of critical refugia and connectivity of value, </w:t>
            </w:r>
            <w:proofErr w:type="gramStart"/>
            <w:r w:rsidRPr="00331F5C">
              <w:rPr>
                <w:sz w:val="18"/>
                <w:szCs w:val="18"/>
                <w:lang w:val="en-US"/>
              </w:rPr>
              <w:t>indicators</w:t>
            </w:r>
            <w:proofErr w:type="gramEnd"/>
            <w:r w:rsidRPr="00331F5C">
              <w:rPr>
                <w:sz w:val="18"/>
                <w:szCs w:val="18"/>
                <w:lang w:val="en-US"/>
              </w:rPr>
              <w:t xml:space="preserve"> and standards for system health (including connectivity, diversity, integrity, function and viable species populations)</w:t>
            </w:r>
          </w:p>
          <w:p w14:paraId="62FDE3DD" w14:textId="77777777" w:rsidR="00A55266" w:rsidRPr="00331F5C" w:rsidRDefault="00A55266" w:rsidP="001C1601">
            <w:pPr>
              <w:spacing w:before="240"/>
              <w:rPr>
                <w:sz w:val="18"/>
                <w:szCs w:val="18"/>
                <w:lang w:val="en-US"/>
              </w:rPr>
            </w:pPr>
            <w:r w:rsidRPr="00331F5C">
              <w:rPr>
                <w:sz w:val="18"/>
                <w:szCs w:val="18"/>
                <w:lang w:val="en-US"/>
              </w:rPr>
              <w:t>- identify and secure access to data that maps/informs the above</w:t>
            </w:r>
          </w:p>
        </w:tc>
        <w:tc>
          <w:tcPr>
            <w:tcW w:w="3402" w:type="dxa"/>
          </w:tcPr>
          <w:p w14:paraId="411B903E" w14:textId="77777777" w:rsidR="00A55266" w:rsidRPr="00331F5C" w:rsidRDefault="00A55266" w:rsidP="001C1601">
            <w:pPr>
              <w:spacing w:before="240"/>
              <w:rPr>
                <w:sz w:val="18"/>
                <w:szCs w:val="18"/>
                <w:lang w:val="en-US"/>
              </w:rPr>
            </w:pPr>
            <w:r w:rsidRPr="00331F5C">
              <w:rPr>
                <w:sz w:val="18"/>
                <w:szCs w:val="18"/>
                <w:lang w:val="en-US"/>
              </w:rPr>
              <w:t>Metrics and criteria</w:t>
            </w:r>
          </w:p>
          <w:p w14:paraId="59797722" w14:textId="77777777" w:rsidR="00A55266" w:rsidRPr="00331F5C" w:rsidRDefault="00A55266" w:rsidP="001C1601">
            <w:pPr>
              <w:spacing w:before="240"/>
              <w:rPr>
                <w:sz w:val="18"/>
                <w:szCs w:val="18"/>
                <w:lang w:val="en-US"/>
              </w:rPr>
            </w:pPr>
            <w:r w:rsidRPr="00331F5C">
              <w:rPr>
                <w:sz w:val="18"/>
                <w:szCs w:val="18"/>
                <w:lang w:val="en-US"/>
              </w:rPr>
              <w:t>Collated map</w:t>
            </w:r>
          </w:p>
          <w:p w14:paraId="23DC40AD" w14:textId="77777777" w:rsidR="00A55266" w:rsidRPr="00331F5C" w:rsidRDefault="00A55266" w:rsidP="001C1601">
            <w:pPr>
              <w:spacing w:before="240"/>
              <w:rPr>
                <w:sz w:val="18"/>
                <w:szCs w:val="18"/>
                <w:lang w:val="en-US"/>
              </w:rPr>
            </w:pPr>
            <w:r w:rsidRPr="00331F5C">
              <w:rPr>
                <w:sz w:val="18"/>
                <w:szCs w:val="18"/>
                <w:lang w:val="en-US"/>
              </w:rPr>
              <w:t xml:space="preserve">M&amp;R framework for CQSS </w:t>
            </w:r>
            <w:proofErr w:type="spellStart"/>
            <w:r w:rsidRPr="00331F5C">
              <w:rPr>
                <w:sz w:val="18"/>
                <w:szCs w:val="18"/>
                <w:lang w:val="en-US"/>
              </w:rPr>
              <w:t>landbased</w:t>
            </w:r>
            <w:proofErr w:type="spellEnd"/>
            <w:r w:rsidRPr="00331F5C">
              <w:rPr>
                <w:sz w:val="18"/>
                <w:szCs w:val="18"/>
                <w:lang w:val="en-US"/>
              </w:rPr>
              <w:t xml:space="preserve"> targets (interim 2023-27, ideal 2027 and beyond)</w:t>
            </w:r>
          </w:p>
        </w:tc>
        <w:tc>
          <w:tcPr>
            <w:tcW w:w="2409" w:type="dxa"/>
          </w:tcPr>
          <w:p w14:paraId="53A9E0D9" w14:textId="77777777" w:rsidR="00A55266" w:rsidRPr="00331F5C" w:rsidRDefault="00A55266" w:rsidP="001C1601">
            <w:pPr>
              <w:spacing w:before="240"/>
              <w:rPr>
                <w:sz w:val="18"/>
                <w:szCs w:val="18"/>
                <w:lang w:val="en-US"/>
              </w:rPr>
            </w:pPr>
            <w:r w:rsidRPr="00331F5C">
              <w:rPr>
                <w:sz w:val="18"/>
                <w:szCs w:val="18"/>
                <w:lang w:val="en-US"/>
              </w:rPr>
              <w:t>Groundwater WG</w:t>
            </w:r>
          </w:p>
          <w:p w14:paraId="3723C0EB" w14:textId="77777777" w:rsidR="00A55266" w:rsidRPr="00331F5C" w:rsidRDefault="00A55266" w:rsidP="001C1601">
            <w:pPr>
              <w:spacing w:before="240"/>
              <w:rPr>
                <w:sz w:val="18"/>
                <w:szCs w:val="18"/>
                <w:lang w:val="en-US"/>
              </w:rPr>
            </w:pPr>
            <w:r w:rsidRPr="00331F5C">
              <w:rPr>
                <w:sz w:val="18"/>
                <w:szCs w:val="18"/>
                <w:lang w:val="en-US"/>
              </w:rPr>
              <w:t>Freshwater WG</w:t>
            </w:r>
          </w:p>
          <w:p w14:paraId="71ACDA46" w14:textId="77777777" w:rsidR="00A55266" w:rsidRPr="00331F5C" w:rsidRDefault="00A55266" w:rsidP="001C1601">
            <w:pPr>
              <w:tabs>
                <w:tab w:val="left" w:pos="1275"/>
              </w:tabs>
              <w:spacing w:before="240"/>
              <w:rPr>
                <w:sz w:val="18"/>
                <w:szCs w:val="18"/>
                <w:lang w:val="en-US"/>
              </w:rPr>
            </w:pPr>
            <w:r w:rsidRPr="00331F5C">
              <w:rPr>
                <w:sz w:val="18"/>
                <w:szCs w:val="18"/>
                <w:lang w:val="en-US"/>
              </w:rPr>
              <w:t>Soil WG</w:t>
            </w:r>
            <w:r w:rsidRPr="00331F5C">
              <w:rPr>
                <w:sz w:val="18"/>
                <w:szCs w:val="18"/>
                <w:lang w:val="en-US"/>
              </w:rPr>
              <w:tab/>
            </w:r>
          </w:p>
          <w:p w14:paraId="0F3EA6A5" w14:textId="77777777" w:rsidR="00A55266" w:rsidRPr="00331F5C" w:rsidRDefault="00A55266" w:rsidP="001C1601">
            <w:pPr>
              <w:tabs>
                <w:tab w:val="left" w:pos="1275"/>
              </w:tabs>
              <w:spacing w:before="240"/>
              <w:rPr>
                <w:sz w:val="18"/>
                <w:szCs w:val="18"/>
                <w:lang w:val="en-US"/>
              </w:rPr>
            </w:pPr>
            <w:r w:rsidRPr="00331F5C">
              <w:rPr>
                <w:sz w:val="18"/>
                <w:szCs w:val="18"/>
                <w:lang w:val="en-US"/>
              </w:rPr>
              <w:t>First Nations WG</w:t>
            </w:r>
          </w:p>
          <w:p w14:paraId="718BBB1D" w14:textId="77777777" w:rsidR="00A55266" w:rsidRPr="00331F5C" w:rsidRDefault="00A55266" w:rsidP="001C1601">
            <w:pPr>
              <w:tabs>
                <w:tab w:val="left" w:pos="1275"/>
              </w:tabs>
              <w:spacing w:before="240"/>
              <w:rPr>
                <w:sz w:val="18"/>
                <w:szCs w:val="18"/>
                <w:lang w:val="en-US"/>
              </w:rPr>
            </w:pPr>
            <w:r w:rsidRPr="00331F5C">
              <w:rPr>
                <w:sz w:val="18"/>
                <w:szCs w:val="18"/>
                <w:lang w:val="en-US"/>
              </w:rPr>
              <w:t>Regional councils</w:t>
            </w:r>
          </w:p>
          <w:p w14:paraId="18964A10" w14:textId="77777777" w:rsidR="00A55266" w:rsidRPr="00331F5C" w:rsidRDefault="00A55266" w:rsidP="001C1601">
            <w:pPr>
              <w:tabs>
                <w:tab w:val="left" w:pos="1275"/>
              </w:tabs>
              <w:spacing w:before="240"/>
              <w:rPr>
                <w:sz w:val="18"/>
                <w:szCs w:val="18"/>
                <w:lang w:val="en-US"/>
              </w:rPr>
            </w:pPr>
            <w:r w:rsidRPr="00331F5C">
              <w:rPr>
                <w:sz w:val="18"/>
                <w:szCs w:val="18"/>
                <w:lang w:val="en-US"/>
              </w:rPr>
              <w:t>QPWS</w:t>
            </w:r>
          </w:p>
          <w:p w14:paraId="58A40B79" w14:textId="77777777" w:rsidR="00A55266" w:rsidRPr="00331F5C" w:rsidRDefault="00A55266" w:rsidP="001C1601">
            <w:pPr>
              <w:tabs>
                <w:tab w:val="left" w:pos="1275"/>
              </w:tabs>
              <w:spacing w:before="240"/>
              <w:rPr>
                <w:sz w:val="18"/>
                <w:szCs w:val="18"/>
                <w:lang w:val="en-US"/>
              </w:rPr>
            </w:pPr>
            <w:r w:rsidRPr="00331F5C">
              <w:rPr>
                <w:sz w:val="18"/>
                <w:szCs w:val="18"/>
                <w:lang w:val="en-US"/>
              </w:rPr>
              <w:t>Fire ecologists</w:t>
            </w:r>
          </w:p>
        </w:tc>
        <w:tc>
          <w:tcPr>
            <w:tcW w:w="1843" w:type="dxa"/>
          </w:tcPr>
          <w:p w14:paraId="2858FB9F" w14:textId="77777777" w:rsidR="00A55266" w:rsidRPr="00331F5C" w:rsidRDefault="00A55266" w:rsidP="001C1601">
            <w:pPr>
              <w:spacing w:before="240"/>
              <w:rPr>
                <w:sz w:val="18"/>
                <w:szCs w:val="18"/>
                <w:lang w:val="en-US"/>
              </w:rPr>
            </w:pPr>
            <w:r w:rsidRPr="00331F5C">
              <w:rPr>
                <w:sz w:val="18"/>
                <w:szCs w:val="18"/>
                <w:lang w:val="en-US"/>
              </w:rPr>
              <w:t>FBA Environment Team Leader</w:t>
            </w:r>
          </w:p>
        </w:tc>
      </w:tr>
      <w:tr w:rsidR="00A55266" w:rsidRPr="00331F5C" w14:paraId="28D60752" w14:textId="77777777" w:rsidTr="001C1601">
        <w:tc>
          <w:tcPr>
            <w:tcW w:w="1980" w:type="dxa"/>
          </w:tcPr>
          <w:p w14:paraId="0C149FD9" w14:textId="77777777" w:rsidR="00A55266" w:rsidRPr="00331F5C" w:rsidRDefault="00A55266" w:rsidP="001C1601">
            <w:pPr>
              <w:spacing w:before="240"/>
              <w:rPr>
                <w:sz w:val="18"/>
                <w:szCs w:val="18"/>
                <w:lang w:val="en-US"/>
              </w:rPr>
            </w:pPr>
            <w:r w:rsidRPr="00331F5C">
              <w:rPr>
                <w:sz w:val="18"/>
                <w:szCs w:val="18"/>
                <w:lang w:val="en-US"/>
              </w:rPr>
              <w:lastRenderedPageBreak/>
              <w:t>Freshwater – technical/science panel*</w:t>
            </w:r>
          </w:p>
        </w:tc>
        <w:tc>
          <w:tcPr>
            <w:tcW w:w="4111" w:type="dxa"/>
          </w:tcPr>
          <w:p w14:paraId="0E44F3D1" w14:textId="77777777" w:rsidR="00A55266" w:rsidRPr="00331F5C" w:rsidRDefault="00A55266" w:rsidP="001C1601">
            <w:pPr>
              <w:spacing w:before="240"/>
              <w:rPr>
                <w:sz w:val="18"/>
                <w:szCs w:val="18"/>
                <w:lang w:val="en-US"/>
              </w:rPr>
            </w:pPr>
            <w:r w:rsidRPr="00331F5C">
              <w:rPr>
                <w:sz w:val="18"/>
                <w:szCs w:val="18"/>
                <w:lang w:val="en-US"/>
              </w:rPr>
              <w:t xml:space="preserve">- determine keystone species, metrics to </w:t>
            </w:r>
            <w:proofErr w:type="spellStart"/>
            <w:r w:rsidRPr="00331F5C">
              <w:rPr>
                <w:sz w:val="18"/>
                <w:szCs w:val="18"/>
                <w:lang w:val="en-US"/>
              </w:rPr>
              <w:t>categorise</w:t>
            </w:r>
            <w:proofErr w:type="spellEnd"/>
            <w:r w:rsidRPr="00331F5C">
              <w:rPr>
                <w:sz w:val="18"/>
                <w:szCs w:val="18"/>
                <w:lang w:val="en-US"/>
              </w:rPr>
              <w:t xml:space="preserve"> valuable waterways (for habitat and services), criteria of critical refugia and connectivity of value, </w:t>
            </w:r>
            <w:proofErr w:type="gramStart"/>
            <w:r w:rsidRPr="00331F5C">
              <w:rPr>
                <w:sz w:val="18"/>
                <w:szCs w:val="18"/>
                <w:lang w:val="en-US"/>
              </w:rPr>
              <w:t>indicators</w:t>
            </w:r>
            <w:proofErr w:type="gramEnd"/>
            <w:r w:rsidRPr="00331F5C">
              <w:rPr>
                <w:sz w:val="18"/>
                <w:szCs w:val="18"/>
                <w:lang w:val="en-US"/>
              </w:rPr>
              <w:t xml:space="preserve"> and standards for system health (including connectivity, diversity, integrity, regime, function and viable species populations)</w:t>
            </w:r>
          </w:p>
          <w:p w14:paraId="064A644F" w14:textId="77777777" w:rsidR="00A55266" w:rsidRPr="00331F5C" w:rsidRDefault="00A55266" w:rsidP="001C1601">
            <w:pPr>
              <w:spacing w:before="240"/>
              <w:rPr>
                <w:sz w:val="18"/>
                <w:szCs w:val="18"/>
                <w:lang w:val="en-US"/>
              </w:rPr>
            </w:pPr>
            <w:r w:rsidRPr="00331F5C">
              <w:rPr>
                <w:sz w:val="18"/>
                <w:szCs w:val="18"/>
                <w:lang w:val="en-US"/>
              </w:rPr>
              <w:t>- identify and secure access to data that maps/informs the above</w:t>
            </w:r>
          </w:p>
        </w:tc>
        <w:tc>
          <w:tcPr>
            <w:tcW w:w="3402" w:type="dxa"/>
          </w:tcPr>
          <w:p w14:paraId="6EF6D3D5" w14:textId="77777777" w:rsidR="00A55266" w:rsidRPr="00331F5C" w:rsidRDefault="00A55266" w:rsidP="001C1601">
            <w:pPr>
              <w:spacing w:before="240"/>
              <w:rPr>
                <w:sz w:val="18"/>
                <w:szCs w:val="18"/>
                <w:lang w:val="en-US"/>
              </w:rPr>
            </w:pPr>
            <w:r w:rsidRPr="00331F5C">
              <w:rPr>
                <w:sz w:val="18"/>
                <w:szCs w:val="18"/>
                <w:lang w:val="en-US"/>
              </w:rPr>
              <w:t>Metrics and criteria</w:t>
            </w:r>
          </w:p>
          <w:p w14:paraId="0E2987DF" w14:textId="77777777" w:rsidR="00A55266" w:rsidRPr="00331F5C" w:rsidRDefault="00A55266" w:rsidP="001C1601">
            <w:pPr>
              <w:spacing w:before="240"/>
              <w:rPr>
                <w:sz w:val="18"/>
                <w:szCs w:val="18"/>
                <w:lang w:val="en-US"/>
              </w:rPr>
            </w:pPr>
            <w:r w:rsidRPr="00331F5C">
              <w:rPr>
                <w:sz w:val="18"/>
                <w:szCs w:val="18"/>
                <w:lang w:val="en-US"/>
              </w:rPr>
              <w:t>Collated map</w:t>
            </w:r>
          </w:p>
          <w:p w14:paraId="6A4E224B" w14:textId="77777777" w:rsidR="00A55266" w:rsidRPr="00331F5C" w:rsidRDefault="00A55266" w:rsidP="001C1601">
            <w:pPr>
              <w:spacing w:before="240"/>
              <w:rPr>
                <w:sz w:val="18"/>
                <w:szCs w:val="18"/>
                <w:lang w:val="en-US"/>
              </w:rPr>
            </w:pPr>
            <w:r w:rsidRPr="00331F5C">
              <w:rPr>
                <w:sz w:val="18"/>
                <w:szCs w:val="18"/>
                <w:lang w:val="en-US"/>
              </w:rPr>
              <w:t>M&amp;R framework for CQSS freshwater targets</w:t>
            </w:r>
          </w:p>
        </w:tc>
        <w:tc>
          <w:tcPr>
            <w:tcW w:w="2409" w:type="dxa"/>
          </w:tcPr>
          <w:p w14:paraId="52867E7F" w14:textId="77777777" w:rsidR="00A55266" w:rsidRPr="00331F5C" w:rsidRDefault="00A55266" w:rsidP="001C1601">
            <w:pPr>
              <w:spacing w:before="240"/>
              <w:rPr>
                <w:sz w:val="18"/>
                <w:szCs w:val="18"/>
                <w:lang w:val="en-US"/>
              </w:rPr>
            </w:pPr>
            <w:r w:rsidRPr="00331F5C">
              <w:rPr>
                <w:sz w:val="18"/>
                <w:szCs w:val="18"/>
                <w:lang w:val="en-US"/>
              </w:rPr>
              <w:t>Groundwater WG</w:t>
            </w:r>
          </w:p>
          <w:p w14:paraId="0CAFB385" w14:textId="77777777" w:rsidR="00A55266" w:rsidRPr="00331F5C" w:rsidRDefault="00A55266" w:rsidP="001C1601">
            <w:pPr>
              <w:spacing w:before="240"/>
              <w:rPr>
                <w:sz w:val="18"/>
                <w:szCs w:val="18"/>
                <w:lang w:val="en-US"/>
              </w:rPr>
            </w:pPr>
            <w:r w:rsidRPr="00331F5C">
              <w:rPr>
                <w:sz w:val="18"/>
                <w:szCs w:val="18"/>
                <w:lang w:val="en-US"/>
              </w:rPr>
              <w:t>Coastal &amp; marine WG</w:t>
            </w:r>
          </w:p>
          <w:p w14:paraId="4B869F93" w14:textId="77777777" w:rsidR="00A55266" w:rsidRPr="00331F5C" w:rsidRDefault="00A55266" w:rsidP="001C1601">
            <w:pPr>
              <w:spacing w:before="240"/>
              <w:rPr>
                <w:sz w:val="18"/>
                <w:szCs w:val="18"/>
                <w:lang w:val="en-US"/>
              </w:rPr>
            </w:pPr>
            <w:r w:rsidRPr="00331F5C">
              <w:rPr>
                <w:sz w:val="18"/>
                <w:szCs w:val="18"/>
                <w:lang w:val="en-US"/>
              </w:rPr>
              <w:t>Terrestrial WG</w:t>
            </w:r>
          </w:p>
          <w:p w14:paraId="06A4B554" w14:textId="77777777" w:rsidR="00A55266" w:rsidRPr="00331F5C" w:rsidRDefault="00A55266" w:rsidP="001C1601">
            <w:pPr>
              <w:spacing w:before="240"/>
              <w:rPr>
                <w:sz w:val="18"/>
                <w:szCs w:val="18"/>
                <w:lang w:val="en-US"/>
              </w:rPr>
            </w:pPr>
            <w:r w:rsidRPr="00331F5C">
              <w:rPr>
                <w:sz w:val="18"/>
                <w:szCs w:val="18"/>
                <w:lang w:val="en-US"/>
              </w:rPr>
              <w:t>First Nations WG</w:t>
            </w:r>
          </w:p>
          <w:p w14:paraId="77CD12B5" w14:textId="77777777" w:rsidR="00A55266" w:rsidRPr="00331F5C" w:rsidRDefault="00A55266" w:rsidP="001C1601">
            <w:pPr>
              <w:spacing w:before="240"/>
              <w:rPr>
                <w:sz w:val="18"/>
                <w:szCs w:val="18"/>
                <w:lang w:val="en-US"/>
              </w:rPr>
            </w:pPr>
            <w:proofErr w:type="spellStart"/>
            <w:r w:rsidRPr="00331F5C">
              <w:rPr>
                <w:sz w:val="18"/>
                <w:szCs w:val="18"/>
                <w:lang w:val="en-US"/>
              </w:rPr>
              <w:t>Sunwater</w:t>
            </w:r>
            <w:proofErr w:type="spellEnd"/>
            <w:r w:rsidRPr="00331F5C">
              <w:rPr>
                <w:sz w:val="18"/>
                <w:szCs w:val="18"/>
                <w:lang w:val="en-US"/>
              </w:rPr>
              <w:t xml:space="preserve"> </w:t>
            </w:r>
            <w:proofErr w:type="gramStart"/>
            <w:r w:rsidRPr="00331F5C">
              <w:rPr>
                <w:sz w:val="18"/>
                <w:szCs w:val="18"/>
                <w:lang w:val="en-US"/>
              </w:rPr>
              <w:t>&amp; ??</w:t>
            </w:r>
            <w:proofErr w:type="gramEnd"/>
          </w:p>
          <w:p w14:paraId="115396A1" w14:textId="77777777" w:rsidR="00A55266" w:rsidRPr="00331F5C" w:rsidRDefault="00A55266" w:rsidP="001C1601">
            <w:pPr>
              <w:spacing w:before="240"/>
              <w:rPr>
                <w:sz w:val="18"/>
                <w:szCs w:val="18"/>
                <w:lang w:val="en-US"/>
              </w:rPr>
            </w:pPr>
            <w:r w:rsidRPr="00331F5C">
              <w:rPr>
                <w:sz w:val="18"/>
                <w:szCs w:val="18"/>
                <w:lang w:val="en-US"/>
              </w:rPr>
              <w:t>DES</w:t>
            </w:r>
          </w:p>
        </w:tc>
        <w:tc>
          <w:tcPr>
            <w:tcW w:w="1843" w:type="dxa"/>
          </w:tcPr>
          <w:p w14:paraId="4EC64F1E" w14:textId="77777777" w:rsidR="00A55266" w:rsidRPr="00331F5C" w:rsidRDefault="00A55266" w:rsidP="001C1601">
            <w:pPr>
              <w:spacing w:before="240"/>
              <w:rPr>
                <w:sz w:val="18"/>
                <w:szCs w:val="18"/>
                <w:lang w:val="en-US"/>
              </w:rPr>
            </w:pPr>
            <w:r w:rsidRPr="00331F5C">
              <w:rPr>
                <w:sz w:val="18"/>
                <w:szCs w:val="18"/>
                <w:lang w:val="en-US"/>
              </w:rPr>
              <w:t>FBA Strategic Projects Leader/FPRH Exec Officer</w:t>
            </w:r>
          </w:p>
        </w:tc>
      </w:tr>
      <w:tr w:rsidR="00A55266" w:rsidRPr="00331F5C" w14:paraId="1E8FA0A5" w14:textId="77777777" w:rsidTr="001C1601">
        <w:tc>
          <w:tcPr>
            <w:tcW w:w="1980" w:type="dxa"/>
          </w:tcPr>
          <w:p w14:paraId="35E38AF7" w14:textId="77777777" w:rsidR="00A55266" w:rsidRPr="00331F5C" w:rsidRDefault="00A55266" w:rsidP="001C1601">
            <w:pPr>
              <w:spacing w:before="240"/>
              <w:rPr>
                <w:sz w:val="18"/>
                <w:szCs w:val="18"/>
                <w:lang w:val="en-US"/>
              </w:rPr>
            </w:pPr>
            <w:r w:rsidRPr="00331F5C">
              <w:rPr>
                <w:sz w:val="18"/>
                <w:szCs w:val="18"/>
                <w:lang w:val="en-US"/>
              </w:rPr>
              <w:t>Groundwater – technical/science panel*</w:t>
            </w:r>
          </w:p>
        </w:tc>
        <w:tc>
          <w:tcPr>
            <w:tcW w:w="4111" w:type="dxa"/>
          </w:tcPr>
          <w:p w14:paraId="7556E5B7" w14:textId="77777777" w:rsidR="00A55266" w:rsidRPr="00331F5C" w:rsidRDefault="00A55266" w:rsidP="001C1601">
            <w:pPr>
              <w:spacing w:before="240"/>
              <w:rPr>
                <w:sz w:val="18"/>
                <w:szCs w:val="18"/>
                <w:lang w:val="en-US"/>
              </w:rPr>
            </w:pPr>
            <w:r w:rsidRPr="00331F5C">
              <w:rPr>
                <w:sz w:val="18"/>
                <w:szCs w:val="18"/>
                <w:lang w:val="en-US"/>
              </w:rPr>
              <w:t>- determine custom indicators and standards for priority aquifers (incl levels, pressures, water quality)</w:t>
            </w:r>
          </w:p>
          <w:p w14:paraId="21B7A255" w14:textId="77777777" w:rsidR="00A55266" w:rsidRPr="00331F5C" w:rsidRDefault="00A55266" w:rsidP="001C1601">
            <w:pPr>
              <w:spacing w:before="240"/>
              <w:rPr>
                <w:sz w:val="18"/>
                <w:szCs w:val="18"/>
                <w:lang w:val="en-US"/>
              </w:rPr>
            </w:pPr>
            <w:r w:rsidRPr="00331F5C">
              <w:rPr>
                <w:sz w:val="18"/>
                <w:szCs w:val="18"/>
                <w:lang w:val="en-US"/>
              </w:rPr>
              <w:t xml:space="preserve">- </w:t>
            </w:r>
            <w:r w:rsidRPr="00331F5C">
              <w:rPr>
                <w:sz w:val="18"/>
                <w:szCs w:val="18"/>
                <w:highlight w:val="yellow"/>
                <w:lang w:val="en-US"/>
              </w:rPr>
              <w:t>determine indicators and standards for groundwater-dependent ecosystem health</w:t>
            </w:r>
          </w:p>
          <w:p w14:paraId="1CDB4C4E" w14:textId="77777777" w:rsidR="00A55266" w:rsidRPr="00331F5C" w:rsidRDefault="00A55266" w:rsidP="001C1601">
            <w:pPr>
              <w:spacing w:before="240"/>
              <w:rPr>
                <w:sz w:val="18"/>
                <w:szCs w:val="18"/>
                <w:lang w:val="en-US"/>
              </w:rPr>
            </w:pPr>
            <w:r w:rsidRPr="00331F5C">
              <w:rPr>
                <w:sz w:val="18"/>
                <w:szCs w:val="18"/>
                <w:lang w:val="en-US"/>
              </w:rPr>
              <w:t>- identify and secure access to data that maps/informs the above</w:t>
            </w:r>
          </w:p>
          <w:p w14:paraId="240B135F" w14:textId="77777777" w:rsidR="00A55266" w:rsidRPr="00331F5C" w:rsidRDefault="00A55266" w:rsidP="001C1601">
            <w:pPr>
              <w:spacing w:before="240"/>
              <w:rPr>
                <w:sz w:val="18"/>
                <w:szCs w:val="18"/>
                <w:lang w:val="en-US"/>
              </w:rPr>
            </w:pPr>
            <w:r w:rsidRPr="00331F5C">
              <w:rPr>
                <w:sz w:val="18"/>
                <w:szCs w:val="18"/>
                <w:lang w:val="en-US"/>
              </w:rPr>
              <w:t>- identify and establish priority groundwater monitoring sites across region</w:t>
            </w:r>
          </w:p>
        </w:tc>
        <w:tc>
          <w:tcPr>
            <w:tcW w:w="3402" w:type="dxa"/>
          </w:tcPr>
          <w:p w14:paraId="57F2DE7B" w14:textId="77777777" w:rsidR="00A55266" w:rsidRPr="00331F5C" w:rsidRDefault="00A55266" w:rsidP="001C1601">
            <w:pPr>
              <w:spacing w:before="240"/>
              <w:rPr>
                <w:sz w:val="18"/>
                <w:szCs w:val="18"/>
                <w:lang w:val="en-US"/>
              </w:rPr>
            </w:pPr>
            <w:r w:rsidRPr="00331F5C">
              <w:rPr>
                <w:sz w:val="18"/>
                <w:szCs w:val="18"/>
                <w:lang w:val="en-US"/>
              </w:rPr>
              <w:t>Metrics and criteria</w:t>
            </w:r>
          </w:p>
          <w:p w14:paraId="1B4DECA7" w14:textId="77777777" w:rsidR="00A55266" w:rsidRPr="00331F5C" w:rsidRDefault="00A55266" w:rsidP="001C1601">
            <w:pPr>
              <w:spacing w:before="240"/>
              <w:rPr>
                <w:sz w:val="18"/>
                <w:szCs w:val="18"/>
                <w:lang w:val="en-US"/>
              </w:rPr>
            </w:pPr>
            <w:r w:rsidRPr="00331F5C">
              <w:rPr>
                <w:sz w:val="18"/>
                <w:szCs w:val="18"/>
                <w:lang w:val="en-US"/>
              </w:rPr>
              <w:t>Collated map</w:t>
            </w:r>
          </w:p>
          <w:p w14:paraId="177C7F96" w14:textId="77777777" w:rsidR="00A55266" w:rsidRPr="00331F5C" w:rsidRDefault="00A55266" w:rsidP="001C1601">
            <w:pPr>
              <w:spacing w:before="240"/>
              <w:rPr>
                <w:sz w:val="18"/>
                <w:szCs w:val="18"/>
                <w:lang w:val="en-US"/>
              </w:rPr>
            </w:pPr>
            <w:r w:rsidRPr="00331F5C">
              <w:rPr>
                <w:sz w:val="18"/>
                <w:szCs w:val="18"/>
                <w:lang w:val="en-US"/>
              </w:rPr>
              <w:t>M&amp;R framework for CQSS groundwater targets</w:t>
            </w:r>
          </w:p>
          <w:p w14:paraId="1E376AD2" w14:textId="77777777" w:rsidR="00A55266" w:rsidRPr="00331F5C" w:rsidRDefault="00A55266" w:rsidP="001C1601">
            <w:pPr>
              <w:spacing w:before="240"/>
              <w:rPr>
                <w:sz w:val="18"/>
                <w:szCs w:val="18"/>
                <w:lang w:val="en-US"/>
              </w:rPr>
            </w:pPr>
            <w:r w:rsidRPr="00331F5C">
              <w:rPr>
                <w:sz w:val="18"/>
                <w:szCs w:val="18"/>
                <w:lang w:val="en-US"/>
              </w:rPr>
              <w:t>Monitoring and reporting stations across region</w:t>
            </w:r>
          </w:p>
          <w:p w14:paraId="4F09BF26" w14:textId="77777777" w:rsidR="00A55266" w:rsidRPr="00331F5C" w:rsidRDefault="00A55266" w:rsidP="001C1601">
            <w:pPr>
              <w:spacing w:before="240"/>
              <w:rPr>
                <w:sz w:val="18"/>
                <w:szCs w:val="18"/>
                <w:lang w:val="en-US"/>
              </w:rPr>
            </w:pPr>
          </w:p>
        </w:tc>
        <w:tc>
          <w:tcPr>
            <w:tcW w:w="2409" w:type="dxa"/>
          </w:tcPr>
          <w:p w14:paraId="43F6EBDF" w14:textId="77777777" w:rsidR="00A55266" w:rsidRPr="00331F5C" w:rsidRDefault="00A55266" w:rsidP="001C1601">
            <w:pPr>
              <w:spacing w:before="240"/>
              <w:rPr>
                <w:sz w:val="18"/>
                <w:szCs w:val="18"/>
                <w:lang w:val="en-US"/>
              </w:rPr>
            </w:pPr>
            <w:r w:rsidRPr="00331F5C">
              <w:rPr>
                <w:sz w:val="18"/>
                <w:szCs w:val="18"/>
                <w:lang w:val="en-US"/>
              </w:rPr>
              <w:t>Terrestrial WG</w:t>
            </w:r>
          </w:p>
          <w:p w14:paraId="72C3A665" w14:textId="77777777" w:rsidR="00A55266" w:rsidRPr="00331F5C" w:rsidRDefault="00A55266" w:rsidP="001C1601">
            <w:pPr>
              <w:spacing w:before="240"/>
              <w:rPr>
                <w:sz w:val="18"/>
                <w:szCs w:val="18"/>
                <w:lang w:val="en-US"/>
              </w:rPr>
            </w:pPr>
            <w:r w:rsidRPr="00331F5C">
              <w:rPr>
                <w:sz w:val="18"/>
                <w:szCs w:val="18"/>
                <w:lang w:val="en-US"/>
              </w:rPr>
              <w:t>Freshwater WG</w:t>
            </w:r>
          </w:p>
          <w:p w14:paraId="56D36F78" w14:textId="77777777" w:rsidR="00A55266" w:rsidRPr="00331F5C" w:rsidRDefault="00A55266" w:rsidP="001C1601">
            <w:pPr>
              <w:spacing w:before="240"/>
              <w:rPr>
                <w:sz w:val="18"/>
                <w:szCs w:val="18"/>
                <w:lang w:val="en-US"/>
              </w:rPr>
            </w:pPr>
            <w:r w:rsidRPr="00331F5C">
              <w:rPr>
                <w:sz w:val="18"/>
                <w:szCs w:val="18"/>
                <w:lang w:val="en-US"/>
              </w:rPr>
              <w:t>Coastal &amp; marine WG</w:t>
            </w:r>
          </w:p>
          <w:p w14:paraId="08683553" w14:textId="77777777" w:rsidR="00A55266" w:rsidRPr="00331F5C" w:rsidRDefault="00A55266" w:rsidP="001C1601">
            <w:pPr>
              <w:spacing w:before="240"/>
              <w:rPr>
                <w:sz w:val="18"/>
                <w:szCs w:val="18"/>
                <w:lang w:val="en-US"/>
              </w:rPr>
            </w:pPr>
            <w:r w:rsidRPr="00331F5C">
              <w:rPr>
                <w:sz w:val="18"/>
                <w:szCs w:val="18"/>
                <w:lang w:val="en-US"/>
              </w:rPr>
              <w:t>Mining and agricultural industry</w:t>
            </w:r>
          </w:p>
          <w:p w14:paraId="20D265C1" w14:textId="77777777" w:rsidR="00A55266" w:rsidRPr="00331F5C" w:rsidRDefault="00A55266" w:rsidP="001C1601">
            <w:pPr>
              <w:spacing w:before="240"/>
              <w:rPr>
                <w:sz w:val="18"/>
                <w:szCs w:val="18"/>
                <w:lang w:val="en-US"/>
              </w:rPr>
            </w:pPr>
            <w:r w:rsidRPr="00331F5C">
              <w:rPr>
                <w:sz w:val="18"/>
                <w:szCs w:val="18"/>
                <w:lang w:val="en-US"/>
              </w:rPr>
              <w:t>First Nations</w:t>
            </w:r>
          </w:p>
        </w:tc>
        <w:tc>
          <w:tcPr>
            <w:tcW w:w="1843" w:type="dxa"/>
          </w:tcPr>
          <w:p w14:paraId="42966438" w14:textId="77777777" w:rsidR="00A55266" w:rsidRPr="00331F5C" w:rsidRDefault="00A55266" w:rsidP="001C1601">
            <w:pPr>
              <w:spacing w:before="240"/>
              <w:rPr>
                <w:sz w:val="18"/>
                <w:szCs w:val="18"/>
                <w:lang w:val="en-US"/>
              </w:rPr>
            </w:pPr>
            <w:r w:rsidRPr="00331F5C">
              <w:rPr>
                <w:sz w:val="18"/>
                <w:szCs w:val="18"/>
                <w:lang w:val="en-US"/>
              </w:rPr>
              <w:t>FBA Community Participation Coordinator</w:t>
            </w:r>
          </w:p>
        </w:tc>
      </w:tr>
      <w:tr w:rsidR="00A55266" w:rsidRPr="00331F5C" w14:paraId="7F4032E9" w14:textId="77777777" w:rsidTr="001C1601">
        <w:tc>
          <w:tcPr>
            <w:tcW w:w="1980" w:type="dxa"/>
          </w:tcPr>
          <w:p w14:paraId="0712ADCA" w14:textId="77777777" w:rsidR="00A55266" w:rsidRPr="00331F5C" w:rsidRDefault="00A55266" w:rsidP="001C1601">
            <w:pPr>
              <w:spacing w:before="240"/>
              <w:rPr>
                <w:sz w:val="18"/>
                <w:szCs w:val="18"/>
                <w:lang w:val="en-US"/>
              </w:rPr>
            </w:pPr>
            <w:r w:rsidRPr="00331F5C">
              <w:rPr>
                <w:sz w:val="18"/>
                <w:szCs w:val="18"/>
                <w:lang w:val="en-US"/>
              </w:rPr>
              <w:t>Coastal &amp; marine – technical/science panel*</w:t>
            </w:r>
          </w:p>
        </w:tc>
        <w:tc>
          <w:tcPr>
            <w:tcW w:w="4111" w:type="dxa"/>
          </w:tcPr>
          <w:p w14:paraId="72A1DBAC" w14:textId="77777777" w:rsidR="00A55266" w:rsidRPr="00331F5C" w:rsidRDefault="00A55266" w:rsidP="001C1601">
            <w:pPr>
              <w:spacing w:before="240"/>
              <w:rPr>
                <w:sz w:val="18"/>
                <w:szCs w:val="18"/>
                <w:lang w:val="en-US"/>
              </w:rPr>
            </w:pPr>
            <w:r w:rsidRPr="00331F5C">
              <w:rPr>
                <w:sz w:val="18"/>
                <w:szCs w:val="18"/>
                <w:lang w:val="en-US"/>
              </w:rPr>
              <w:t xml:space="preserve">- determine keystone species, metrics to </w:t>
            </w:r>
            <w:proofErr w:type="spellStart"/>
            <w:r w:rsidRPr="00331F5C">
              <w:rPr>
                <w:sz w:val="18"/>
                <w:szCs w:val="18"/>
                <w:lang w:val="en-US"/>
              </w:rPr>
              <w:t>categorise</w:t>
            </w:r>
            <w:proofErr w:type="spellEnd"/>
            <w:r w:rsidRPr="00331F5C">
              <w:rPr>
                <w:sz w:val="18"/>
                <w:szCs w:val="18"/>
                <w:lang w:val="en-US"/>
              </w:rPr>
              <w:t xml:space="preserve"> valuable seagrass, mangroves, rookeries, roosting </w:t>
            </w:r>
            <w:proofErr w:type="gramStart"/>
            <w:r w:rsidRPr="00331F5C">
              <w:rPr>
                <w:sz w:val="18"/>
                <w:szCs w:val="18"/>
                <w:lang w:val="en-US"/>
              </w:rPr>
              <w:t>sites</w:t>
            </w:r>
            <w:proofErr w:type="gramEnd"/>
            <w:r w:rsidRPr="00331F5C">
              <w:rPr>
                <w:sz w:val="18"/>
                <w:szCs w:val="18"/>
                <w:lang w:val="en-US"/>
              </w:rPr>
              <w:t xml:space="preserve"> and corals (for habitat and services), criteria of critical refugia and connectivity of value, indicators and standards for system health (including connectivity, diversity, integrity, resilience, function and viable species populations)</w:t>
            </w:r>
          </w:p>
          <w:p w14:paraId="467545A7" w14:textId="77777777" w:rsidR="00A55266" w:rsidRPr="00331F5C" w:rsidRDefault="00A55266" w:rsidP="001C1601">
            <w:pPr>
              <w:spacing w:before="240"/>
              <w:rPr>
                <w:sz w:val="18"/>
                <w:szCs w:val="18"/>
                <w:lang w:val="en-US"/>
              </w:rPr>
            </w:pPr>
            <w:r w:rsidRPr="00331F5C">
              <w:rPr>
                <w:sz w:val="18"/>
                <w:szCs w:val="18"/>
                <w:lang w:val="en-US"/>
              </w:rPr>
              <w:t>- identify and secure access to data that maps/informs the above</w:t>
            </w:r>
          </w:p>
        </w:tc>
        <w:tc>
          <w:tcPr>
            <w:tcW w:w="3402" w:type="dxa"/>
          </w:tcPr>
          <w:p w14:paraId="1BFDEE5D" w14:textId="77777777" w:rsidR="00A55266" w:rsidRPr="00331F5C" w:rsidRDefault="00A55266" w:rsidP="001C1601">
            <w:pPr>
              <w:spacing w:before="240"/>
              <w:rPr>
                <w:sz w:val="18"/>
                <w:szCs w:val="18"/>
                <w:lang w:val="en-US"/>
              </w:rPr>
            </w:pPr>
            <w:r w:rsidRPr="00331F5C">
              <w:rPr>
                <w:sz w:val="18"/>
                <w:szCs w:val="18"/>
                <w:lang w:val="en-US"/>
              </w:rPr>
              <w:t>Metrics and criteria</w:t>
            </w:r>
          </w:p>
          <w:p w14:paraId="77AE1F54" w14:textId="77777777" w:rsidR="00A55266" w:rsidRPr="00331F5C" w:rsidRDefault="00A55266" w:rsidP="001C1601">
            <w:pPr>
              <w:spacing w:before="240"/>
              <w:rPr>
                <w:sz w:val="18"/>
                <w:szCs w:val="18"/>
                <w:lang w:val="en-US"/>
              </w:rPr>
            </w:pPr>
            <w:r w:rsidRPr="00331F5C">
              <w:rPr>
                <w:sz w:val="18"/>
                <w:szCs w:val="18"/>
                <w:lang w:val="en-US"/>
              </w:rPr>
              <w:t>Collated map</w:t>
            </w:r>
          </w:p>
          <w:p w14:paraId="6DF4C689" w14:textId="77777777" w:rsidR="00A55266" w:rsidRPr="00331F5C" w:rsidRDefault="00A55266" w:rsidP="001C1601">
            <w:pPr>
              <w:spacing w:before="240"/>
              <w:rPr>
                <w:sz w:val="18"/>
                <w:szCs w:val="18"/>
                <w:lang w:val="en-US"/>
              </w:rPr>
            </w:pPr>
            <w:r w:rsidRPr="00331F5C">
              <w:rPr>
                <w:sz w:val="18"/>
                <w:szCs w:val="18"/>
                <w:lang w:val="en-US"/>
              </w:rPr>
              <w:t>M&amp;R framework for CQSS coastal and marine targets</w:t>
            </w:r>
          </w:p>
        </w:tc>
        <w:tc>
          <w:tcPr>
            <w:tcW w:w="2409" w:type="dxa"/>
          </w:tcPr>
          <w:p w14:paraId="62715AB2" w14:textId="77777777" w:rsidR="00A55266" w:rsidRPr="00331F5C" w:rsidRDefault="00A55266" w:rsidP="001C1601">
            <w:pPr>
              <w:spacing w:before="240"/>
              <w:rPr>
                <w:sz w:val="18"/>
                <w:szCs w:val="18"/>
                <w:lang w:val="en-US"/>
              </w:rPr>
            </w:pPr>
            <w:r w:rsidRPr="00331F5C">
              <w:rPr>
                <w:sz w:val="18"/>
                <w:szCs w:val="18"/>
                <w:lang w:val="en-US"/>
              </w:rPr>
              <w:t>Freshwater WG</w:t>
            </w:r>
          </w:p>
          <w:p w14:paraId="31B15248" w14:textId="77777777" w:rsidR="00A55266" w:rsidRPr="00331F5C" w:rsidRDefault="00A55266" w:rsidP="001C1601">
            <w:pPr>
              <w:spacing w:before="240"/>
              <w:rPr>
                <w:sz w:val="18"/>
                <w:szCs w:val="18"/>
                <w:lang w:val="en-US"/>
              </w:rPr>
            </w:pPr>
            <w:r w:rsidRPr="00331F5C">
              <w:rPr>
                <w:sz w:val="18"/>
                <w:szCs w:val="18"/>
                <w:lang w:val="en-US"/>
              </w:rPr>
              <w:t>Terrestrial WG</w:t>
            </w:r>
          </w:p>
          <w:p w14:paraId="7AAE520B" w14:textId="77777777" w:rsidR="00A55266" w:rsidRPr="00331F5C" w:rsidRDefault="00A55266" w:rsidP="001C1601">
            <w:pPr>
              <w:spacing w:before="240"/>
              <w:rPr>
                <w:sz w:val="18"/>
                <w:szCs w:val="18"/>
                <w:lang w:val="en-US"/>
              </w:rPr>
            </w:pPr>
            <w:r w:rsidRPr="00331F5C">
              <w:rPr>
                <w:sz w:val="18"/>
                <w:szCs w:val="18"/>
                <w:lang w:val="en-US"/>
              </w:rPr>
              <w:t>Groundwater WG</w:t>
            </w:r>
          </w:p>
          <w:p w14:paraId="0C8E718D" w14:textId="77777777" w:rsidR="00A55266" w:rsidRPr="00331F5C" w:rsidRDefault="00A55266" w:rsidP="001C1601">
            <w:pPr>
              <w:spacing w:before="240"/>
              <w:rPr>
                <w:sz w:val="18"/>
                <w:szCs w:val="18"/>
                <w:lang w:val="en-US"/>
              </w:rPr>
            </w:pPr>
            <w:r w:rsidRPr="00331F5C">
              <w:rPr>
                <w:sz w:val="18"/>
                <w:szCs w:val="18"/>
                <w:lang w:val="en-US"/>
              </w:rPr>
              <w:t>First Nations WG</w:t>
            </w:r>
          </w:p>
          <w:p w14:paraId="4FA6E3F2" w14:textId="77777777" w:rsidR="00A55266" w:rsidRPr="00331F5C" w:rsidRDefault="00A55266" w:rsidP="001C1601">
            <w:pPr>
              <w:spacing w:before="240"/>
              <w:rPr>
                <w:sz w:val="18"/>
                <w:szCs w:val="18"/>
                <w:lang w:val="en-US"/>
              </w:rPr>
            </w:pPr>
            <w:r w:rsidRPr="00331F5C">
              <w:rPr>
                <w:sz w:val="18"/>
                <w:szCs w:val="18"/>
                <w:lang w:val="en-US"/>
              </w:rPr>
              <w:t>GBRMPA</w:t>
            </w:r>
          </w:p>
          <w:p w14:paraId="50839DD2" w14:textId="77777777" w:rsidR="00A55266" w:rsidRPr="00331F5C" w:rsidRDefault="00A55266" w:rsidP="001C1601">
            <w:pPr>
              <w:spacing w:before="240"/>
              <w:rPr>
                <w:sz w:val="18"/>
                <w:szCs w:val="18"/>
                <w:lang w:val="en-US"/>
              </w:rPr>
            </w:pPr>
            <w:r w:rsidRPr="00331F5C">
              <w:rPr>
                <w:sz w:val="18"/>
                <w:szCs w:val="18"/>
                <w:lang w:val="en-US"/>
              </w:rPr>
              <w:t>Marine Parks</w:t>
            </w:r>
          </w:p>
          <w:p w14:paraId="123DE22F" w14:textId="2B807927" w:rsidR="00A55266" w:rsidRPr="00331F5C" w:rsidRDefault="00A55266" w:rsidP="00A55266">
            <w:pPr>
              <w:spacing w:before="240"/>
              <w:rPr>
                <w:sz w:val="18"/>
                <w:szCs w:val="18"/>
                <w:lang w:val="en-US"/>
              </w:rPr>
            </w:pPr>
            <w:r>
              <w:rPr>
                <w:sz w:val="18"/>
                <w:szCs w:val="18"/>
                <w:lang w:val="en-US"/>
              </w:rPr>
              <w:t>Coastal r</w:t>
            </w:r>
            <w:r w:rsidRPr="00331F5C">
              <w:rPr>
                <w:sz w:val="18"/>
                <w:szCs w:val="18"/>
                <w:lang w:val="en-US"/>
              </w:rPr>
              <w:t xml:space="preserve">egional </w:t>
            </w:r>
            <w:r>
              <w:rPr>
                <w:sz w:val="18"/>
                <w:szCs w:val="18"/>
                <w:lang w:val="en-US"/>
              </w:rPr>
              <w:t>c</w:t>
            </w:r>
            <w:r w:rsidRPr="00331F5C">
              <w:rPr>
                <w:sz w:val="18"/>
                <w:szCs w:val="18"/>
                <w:lang w:val="en-US"/>
              </w:rPr>
              <w:t>ouncil</w:t>
            </w:r>
            <w:r>
              <w:rPr>
                <w:sz w:val="18"/>
                <w:szCs w:val="18"/>
                <w:lang w:val="en-US"/>
              </w:rPr>
              <w:t>s</w:t>
            </w:r>
          </w:p>
        </w:tc>
        <w:tc>
          <w:tcPr>
            <w:tcW w:w="1843" w:type="dxa"/>
          </w:tcPr>
          <w:p w14:paraId="6B1AD3E7" w14:textId="77777777" w:rsidR="00A55266" w:rsidRPr="00331F5C" w:rsidRDefault="00A55266" w:rsidP="001C1601">
            <w:pPr>
              <w:spacing w:before="240"/>
              <w:rPr>
                <w:sz w:val="18"/>
                <w:szCs w:val="18"/>
                <w:lang w:val="en-US"/>
              </w:rPr>
            </w:pPr>
            <w:r w:rsidRPr="00331F5C">
              <w:rPr>
                <w:sz w:val="18"/>
                <w:szCs w:val="18"/>
                <w:lang w:val="en-US"/>
              </w:rPr>
              <w:t xml:space="preserve">FBA Partnerships Manager </w:t>
            </w:r>
          </w:p>
        </w:tc>
      </w:tr>
    </w:tbl>
    <w:p w14:paraId="329D31DC" w14:textId="77777777" w:rsidR="00A55266" w:rsidRDefault="00A55266" w:rsidP="00A55266">
      <w:pPr>
        <w:rPr>
          <w:b/>
          <w:bCs/>
          <w:lang w:val="en-US"/>
        </w:rPr>
      </w:pPr>
      <w:r>
        <w:rPr>
          <w:b/>
          <w:bCs/>
          <w:lang w:val="en-US"/>
        </w:rPr>
        <w:br w:type="page"/>
      </w:r>
    </w:p>
    <w:p w14:paraId="538E8BCE" w14:textId="77777777" w:rsidR="00A55266" w:rsidRDefault="00A55266" w:rsidP="00A55266">
      <w:pPr>
        <w:rPr>
          <w:b/>
          <w:bCs/>
          <w:lang w:val="en-US"/>
        </w:rPr>
        <w:sectPr w:rsidR="00A55266" w:rsidSect="00331F5C">
          <w:pgSz w:w="16838" w:h="11906" w:orient="landscape"/>
          <w:pgMar w:top="1440" w:right="1440" w:bottom="1440" w:left="1440" w:header="708" w:footer="708" w:gutter="0"/>
          <w:cols w:space="708"/>
          <w:docGrid w:linePitch="360"/>
        </w:sectPr>
      </w:pPr>
    </w:p>
    <w:p w14:paraId="1E96313C" w14:textId="77777777" w:rsidR="00A55266" w:rsidRPr="0011351D" w:rsidRDefault="00A55266" w:rsidP="00A55266">
      <w:pPr>
        <w:pStyle w:val="Heading2"/>
        <w:rPr>
          <w:lang w:val="en-US"/>
        </w:rPr>
      </w:pPr>
      <w:r>
        <w:rPr>
          <w:lang w:val="en-US"/>
        </w:rPr>
        <w:lastRenderedPageBreak/>
        <w:t>Working g</w:t>
      </w:r>
      <w:r w:rsidRPr="0011351D">
        <w:rPr>
          <w:lang w:val="en-US"/>
        </w:rPr>
        <w:t xml:space="preserve">roup membership, </w:t>
      </w:r>
      <w:proofErr w:type="gramStart"/>
      <w:r w:rsidRPr="0011351D">
        <w:rPr>
          <w:lang w:val="en-US"/>
        </w:rPr>
        <w:t>operation</w:t>
      </w:r>
      <w:proofErr w:type="gramEnd"/>
      <w:r w:rsidRPr="0011351D">
        <w:rPr>
          <w:lang w:val="en-US"/>
        </w:rPr>
        <w:t xml:space="preserve"> and remuneration </w:t>
      </w:r>
    </w:p>
    <w:p w14:paraId="02EB84A5" w14:textId="77777777" w:rsidR="00A55266" w:rsidRDefault="00A55266" w:rsidP="00A55266">
      <w:pPr>
        <w:tabs>
          <w:tab w:val="left" w:pos="7260"/>
        </w:tabs>
        <w:rPr>
          <w:lang w:val="en-US"/>
        </w:rPr>
      </w:pPr>
    </w:p>
    <w:p w14:paraId="204C6A1C" w14:textId="77777777" w:rsidR="00A55266" w:rsidRDefault="00A55266" w:rsidP="00A55266">
      <w:pPr>
        <w:tabs>
          <w:tab w:val="left" w:pos="7260"/>
        </w:tabs>
        <w:rPr>
          <w:lang w:val="en-US"/>
        </w:rPr>
      </w:pPr>
      <w:r>
        <w:rPr>
          <w:lang w:val="en-US"/>
        </w:rPr>
        <w:t>Participation in any of the groups is voluntary. All participants commit to collaborative participation for the purposes outlined within this document. Working group membership requires that members bring connections, data and/or other resources that make a significant contribution to achieving group objectives and outputs. Dedicated funding is not currently available for participation in any of the working groups.</w:t>
      </w:r>
    </w:p>
    <w:p w14:paraId="2E8F888B" w14:textId="77777777" w:rsidR="00A55266" w:rsidRDefault="00A55266" w:rsidP="00A55266">
      <w:pPr>
        <w:tabs>
          <w:tab w:val="left" w:pos="7260"/>
        </w:tabs>
        <w:rPr>
          <w:lang w:val="en-US"/>
        </w:rPr>
      </w:pPr>
      <w:r>
        <w:rPr>
          <w:lang w:val="en-US"/>
        </w:rPr>
        <w:t>Technical/Science panel invitations will initially be sent to those who were invited to participate in the 2021 technical specialist CQSS2030 workshop, and to First Nations groups of the region. First Nations’ representatives with specialist knowledge in particular technical/science panel working groups are strongly encouraged to participate as members of these groups.</w:t>
      </w:r>
    </w:p>
    <w:p w14:paraId="53761B34" w14:textId="77777777" w:rsidR="00A55266" w:rsidRDefault="00A55266" w:rsidP="00A55266">
      <w:pPr>
        <w:tabs>
          <w:tab w:val="left" w:pos="7260"/>
        </w:tabs>
        <w:rPr>
          <w:lang w:val="en-US"/>
        </w:rPr>
      </w:pPr>
      <w:r>
        <w:rPr>
          <w:lang w:val="en-US"/>
        </w:rPr>
        <w:t>All groups will be responsible for further inviting relevant specialists and representatives to join/engage with the groups, and establishing and managing the working protocols, expectations, and timeframes of each group.</w:t>
      </w:r>
      <w:r w:rsidRPr="0011351D">
        <w:rPr>
          <w:lang w:val="en-US"/>
        </w:rPr>
        <w:t xml:space="preserve"> </w:t>
      </w:r>
      <w:r>
        <w:rPr>
          <w:lang w:val="en-US"/>
        </w:rPr>
        <w:t>This includes securing necessary funding and resources to conduct meetings, operate and deliver against foundational objectives and June 2023 outputs.</w:t>
      </w:r>
    </w:p>
    <w:p w14:paraId="74FE8A81" w14:textId="77777777" w:rsidR="00A55266" w:rsidRDefault="00A55266" w:rsidP="00A55266">
      <w:pPr>
        <w:tabs>
          <w:tab w:val="left" w:pos="7260"/>
        </w:tabs>
        <w:rPr>
          <w:lang w:val="en-US"/>
        </w:rPr>
      </w:pPr>
      <w:r>
        <w:rPr>
          <w:lang w:val="en-US"/>
        </w:rPr>
        <w:t>An introductory establishment meeting</w:t>
      </w:r>
      <w:r w:rsidRPr="00890C0D">
        <w:rPr>
          <w:lang w:val="en-US"/>
        </w:rPr>
        <w:t xml:space="preserve"> </w:t>
      </w:r>
      <w:r>
        <w:rPr>
          <w:lang w:val="en-US"/>
        </w:rPr>
        <w:t>for all working groups is proposed for February 2022.</w:t>
      </w:r>
    </w:p>
    <w:p w14:paraId="6414774A" w14:textId="77777777" w:rsidR="00A55266" w:rsidRDefault="00A55266" w:rsidP="00A55266">
      <w:pPr>
        <w:rPr>
          <w:b/>
          <w:bCs/>
          <w:lang w:val="en-US"/>
        </w:rPr>
      </w:pPr>
    </w:p>
    <w:p w14:paraId="0031389D" w14:textId="77777777" w:rsidR="00A55266" w:rsidRPr="003545E3" w:rsidRDefault="00A55266" w:rsidP="00A55266">
      <w:pPr>
        <w:pStyle w:val="Heading2"/>
        <w:rPr>
          <w:lang w:val="en-US"/>
        </w:rPr>
      </w:pPr>
      <w:r>
        <w:rPr>
          <w:lang w:val="en-US"/>
        </w:rPr>
        <w:t>The r</w:t>
      </w:r>
      <w:r w:rsidRPr="003545E3">
        <w:rPr>
          <w:lang w:val="en-US"/>
        </w:rPr>
        <w:t>ole of Fitzroy Basin Association</w:t>
      </w:r>
      <w:r>
        <w:rPr>
          <w:lang w:val="en-US"/>
        </w:rPr>
        <w:t xml:space="preserve"> (FBA)</w:t>
      </w:r>
    </w:p>
    <w:p w14:paraId="7B5593A2" w14:textId="77777777" w:rsidR="00A55266" w:rsidRDefault="00A55266" w:rsidP="00A55266">
      <w:pPr>
        <w:tabs>
          <w:tab w:val="left" w:pos="7260"/>
        </w:tabs>
        <w:rPr>
          <w:lang w:val="en-US"/>
        </w:rPr>
      </w:pPr>
    </w:p>
    <w:p w14:paraId="1D0D9B53" w14:textId="77777777" w:rsidR="00A55266" w:rsidRPr="0058078F" w:rsidRDefault="00A55266" w:rsidP="00A55266">
      <w:pPr>
        <w:tabs>
          <w:tab w:val="left" w:pos="7260"/>
        </w:tabs>
        <w:rPr>
          <w:lang w:val="en-US"/>
        </w:rPr>
      </w:pPr>
      <w:r>
        <w:rPr>
          <w:lang w:val="en-US"/>
        </w:rPr>
        <w:t xml:space="preserve">As the leading natural resource management (NRM) body for the region, FBA is responsible for coordinating the review and ongoing maintenance of the region’s NRM plan – the CQSS2030. This includes making the CQSS2030 publicly available and accessible. FBA also plays a pivotal role in supporting the region’s community, </w:t>
      </w:r>
      <w:proofErr w:type="gramStart"/>
      <w:r>
        <w:rPr>
          <w:lang w:val="en-US"/>
        </w:rPr>
        <w:t>industry</w:t>
      </w:r>
      <w:proofErr w:type="gramEnd"/>
      <w:r>
        <w:rPr>
          <w:lang w:val="en-US"/>
        </w:rPr>
        <w:t xml:space="preserve"> and government entities to work together to implement more sustainable practices across the region. For this reason, FBA commits to initiating invitations and conversations to facilitate the initial set up of the recommended working </w:t>
      </w:r>
      <w:proofErr w:type="gramStart"/>
      <w:r>
        <w:rPr>
          <w:lang w:val="en-US"/>
        </w:rPr>
        <w:t>groups, and</w:t>
      </w:r>
      <w:proofErr w:type="gramEnd"/>
      <w:r>
        <w:rPr>
          <w:lang w:val="en-US"/>
        </w:rPr>
        <w:t xml:space="preserve"> remaining an active participant within each group.</w:t>
      </w:r>
    </w:p>
    <w:p w14:paraId="2E0C8F8D" w14:textId="77777777" w:rsidR="00A55266" w:rsidRDefault="00A55266" w:rsidP="00A55266">
      <w:pPr>
        <w:tabs>
          <w:tab w:val="left" w:pos="7260"/>
        </w:tabs>
        <w:rPr>
          <w:lang w:val="en-US"/>
        </w:rPr>
      </w:pPr>
    </w:p>
    <w:p w14:paraId="32EBEA3E" w14:textId="77777777" w:rsidR="00A55266" w:rsidRPr="00331F5C" w:rsidRDefault="00A55266" w:rsidP="00A55266">
      <w:pPr>
        <w:pStyle w:val="Heading2"/>
        <w:rPr>
          <w:lang w:val="en-US"/>
        </w:rPr>
      </w:pPr>
      <w:r w:rsidRPr="00331F5C">
        <w:rPr>
          <w:lang w:val="en-US"/>
        </w:rPr>
        <w:t xml:space="preserve">For further information </w:t>
      </w:r>
    </w:p>
    <w:p w14:paraId="1F861415" w14:textId="77777777" w:rsidR="00A55266" w:rsidRDefault="00A55266" w:rsidP="00A55266">
      <w:pPr>
        <w:tabs>
          <w:tab w:val="left" w:pos="7260"/>
        </w:tabs>
        <w:rPr>
          <w:lang w:val="en-US"/>
        </w:rPr>
      </w:pPr>
    </w:p>
    <w:p w14:paraId="75BD2F02" w14:textId="77777777" w:rsidR="00A55266" w:rsidRDefault="00A55266" w:rsidP="00A55266">
      <w:pPr>
        <w:tabs>
          <w:tab w:val="left" w:pos="7260"/>
        </w:tabs>
        <w:rPr>
          <w:lang w:val="en-US"/>
        </w:rPr>
      </w:pPr>
      <w:r>
        <w:rPr>
          <w:lang w:val="en-US"/>
        </w:rPr>
        <w:t xml:space="preserve">To express your interest in participating in one or more of the working groups, or to find out more contact: </w:t>
      </w:r>
    </w:p>
    <w:p w14:paraId="75C16792" w14:textId="77777777" w:rsidR="00A55266" w:rsidRDefault="00A55266" w:rsidP="00A55266">
      <w:pPr>
        <w:tabs>
          <w:tab w:val="left" w:pos="7260"/>
        </w:tabs>
        <w:rPr>
          <w:lang w:val="en-US"/>
        </w:rPr>
      </w:pPr>
      <w:r>
        <w:rPr>
          <w:rFonts w:ascii="Arial" w:eastAsiaTheme="minorEastAsia" w:hAnsi="Arial" w:cs="Arial"/>
          <w:b/>
          <w:bCs/>
          <w:noProof/>
          <w:color w:val="005F82"/>
          <w:lang w:eastAsia="en-AU"/>
        </w:rPr>
        <w:t>Jodie Kurpershoek  </w:t>
      </w:r>
      <w:r>
        <w:rPr>
          <w:rFonts w:ascii="Arial" w:eastAsiaTheme="minorEastAsia" w:hAnsi="Arial" w:cs="Arial"/>
          <w:b/>
          <w:bCs/>
          <w:noProof/>
          <w:color w:val="63655A"/>
          <w:sz w:val="24"/>
          <w:szCs w:val="24"/>
          <w:lang w:eastAsia="en-AU"/>
        </w:rPr>
        <w:t xml:space="preserve">| </w:t>
      </w:r>
      <w:r>
        <w:rPr>
          <w:rFonts w:ascii="Arial" w:eastAsiaTheme="minorEastAsia" w:hAnsi="Arial" w:cs="Arial"/>
          <w:b/>
          <w:bCs/>
          <w:noProof/>
          <w:color w:val="63655A"/>
          <w:lang w:eastAsia="en-AU"/>
        </w:rPr>
        <w:t>Regional Engagement Coordinator</w:t>
      </w:r>
      <w:r>
        <w:rPr>
          <w:rFonts w:ascii="Gill Sans" w:eastAsiaTheme="minorEastAsia" w:hAnsi="Gill Sans" w:cs="Arial"/>
          <w:noProof/>
          <w:color w:val="63655A"/>
          <w:sz w:val="24"/>
          <w:szCs w:val="24"/>
          <w:lang w:eastAsia="en-AU"/>
        </w:rPr>
        <w:br/>
      </w:r>
      <w:r>
        <w:rPr>
          <w:rFonts w:ascii="Arial" w:eastAsiaTheme="minorEastAsia" w:hAnsi="Arial" w:cs="Arial"/>
          <w:b/>
          <w:bCs/>
          <w:noProof/>
          <w:color w:val="005F82"/>
          <w:lang w:eastAsia="en-AU"/>
        </w:rPr>
        <w:t>FITZROY BASIN ASSOCIATION</w:t>
      </w:r>
      <w:r>
        <w:rPr>
          <w:rFonts w:ascii="Arial" w:eastAsiaTheme="minorEastAsia" w:hAnsi="Arial" w:cs="Arial"/>
          <w:b/>
          <w:bCs/>
          <w:noProof/>
          <w:lang w:eastAsia="en-AU"/>
        </w:rPr>
        <w:br/>
      </w:r>
      <w:hyperlink r:id="rId21" w:history="1">
        <w:r>
          <w:rPr>
            <w:rStyle w:val="Hyperlink"/>
            <w:rFonts w:ascii="Arial" w:eastAsiaTheme="minorEastAsia" w:hAnsi="Arial" w:cs="Arial"/>
            <w:noProof/>
            <w:color w:val="63655A"/>
            <w:sz w:val="20"/>
            <w:szCs w:val="20"/>
            <w:lang w:eastAsia="en-AU"/>
          </w:rPr>
          <w:t>(07) 4999 2807</w:t>
        </w:r>
      </w:hyperlink>
      <w:r>
        <w:rPr>
          <w:rFonts w:ascii="Arial" w:eastAsiaTheme="minorEastAsia" w:hAnsi="Arial" w:cs="Arial"/>
          <w:noProof/>
          <w:color w:val="63655A"/>
          <w:lang w:eastAsia="en-AU"/>
        </w:rPr>
        <w:t xml:space="preserve"> | </w:t>
      </w:r>
      <w:hyperlink r:id="rId22" w:history="1">
        <w:r>
          <w:rPr>
            <w:rStyle w:val="Hyperlink"/>
            <w:rFonts w:ascii="Arial" w:eastAsiaTheme="minorEastAsia" w:hAnsi="Arial" w:cs="Arial"/>
            <w:noProof/>
            <w:color w:val="63655A"/>
            <w:sz w:val="20"/>
            <w:szCs w:val="20"/>
            <w:lang w:eastAsia="en-AU"/>
          </w:rPr>
          <w:t>0438 965 101</w:t>
        </w:r>
      </w:hyperlink>
      <w:r>
        <w:rPr>
          <w:rFonts w:ascii="Arial" w:eastAsiaTheme="minorEastAsia" w:hAnsi="Arial" w:cs="Arial"/>
          <w:noProof/>
          <w:color w:val="63655A"/>
          <w:lang w:eastAsia="en-AU"/>
        </w:rPr>
        <w:br/>
        <w:t>jo.kurpershoek@fba.org.au</w:t>
      </w:r>
    </w:p>
    <w:p w14:paraId="5CA2352D" w14:textId="77777777" w:rsidR="00A55266" w:rsidRPr="00925B4C" w:rsidRDefault="00A55266" w:rsidP="00925B4C"/>
    <w:sectPr w:rsidR="00A55266" w:rsidRPr="00925B4C" w:rsidSect="00331F5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odie Kurpershoek" w:date="2021-08-03T12:54:00Z" w:initials="JK">
    <w:p w14:paraId="6B5C0424" w14:textId="398E0A11" w:rsidR="00851759" w:rsidRDefault="00851759">
      <w:pPr>
        <w:pStyle w:val="CommentText"/>
      </w:pPr>
      <w:r>
        <w:rPr>
          <w:rStyle w:val="CommentReference"/>
        </w:rPr>
        <w:annotationRef/>
      </w:r>
      <w:r w:rsidRPr="00B746A3">
        <w:rPr>
          <w:highlight w:val="cyan"/>
        </w:rPr>
        <w:t>Camille</w:t>
      </w:r>
      <w:r>
        <w:t xml:space="preserve"> </w:t>
      </w:r>
      <w:r w:rsidR="000A3C13">
        <w:t>drafting</w:t>
      </w:r>
    </w:p>
  </w:comment>
  <w:comment w:id="8" w:author="Jodie Kurpershoek" w:date="2021-09-08T10:45:00Z" w:initials="JK">
    <w:p w14:paraId="1CD3ADD8" w14:textId="0E07B684" w:rsidR="008F73FA" w:rsidRDefault="008F73FA">
      <w:pPr>
        <w:pStyle w:val="CommentText"/>
      </w:pPr>
      <w:r>
        <w:rPr>
          <w:rStyle w:val="CommentReference"/>
        </w:rPr>
        <w:annotationRef/>
      </w:r>
      <w:r>
        <w:t>This has not yet been negotiated with First Nations of the region, it is a proposal only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5C0424" w15:done="0"/>
  <w15:commentEx w15:paraId="1CD3AD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3BB14" w16cex:dateUtc="2021-08-03T02:54:00Z"/>
  <w16cex:commentExtensible w16cex:durableId="24E312C8" w16cex:dateUtc="2021-09-08T0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5C0424" w16cid:durableId="24B3BB14"/>
  <w16cid:commentId w16cid:paraId="1CD3ADD8" w16cid:durableId="24E312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E8B9" w14:textId="77777777" w:rsidR="00A62412" w:rsidRDefault="00A62412" w:rsidP="00A62412">
      <w:pPr>
        <w:spacing w:after="0" w:line="240" w:lineRule="auto"/>
      </w:pPr>
      <w:r>
        <w:separator/>
      </w:r>
    </w:p>
  </w:endnote>
  <w:endnote w:type="continuationSeparator" w:id="0">
    <w:p w14:paraId="0D9BAA2D" w14:textId="77777777" w:rsidR="00A62412" w:rsidRDefault="00A62412" w:rsidP="00A6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1784" w14:textId="77777777" w:rsidR="005E0F90" w:rsidRDefault="005E0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518893"/>
      <w:docPartObj>
        <w:docPartGallery w:val="Page Numbers (Bottom of Page)"/>
        <w:docPartUnique/>
      </w:docPartObj>
    </w:sdtPr>
    <w:sdtContent>
      <w:p w14:paraId="547D1AA3" w14:textId="1B0A632E" w:rsidR="00A62412" w:rsidRDefault="00A6241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3FBBFA2" w14:textId="77777777" w:rsidR="00A62412" w:rsidRDefault="00A62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67F9" w14:textId="77777777" w:rsidR="005E0F90" w:rsidRDefault="005E0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DF54" w14:textId="77777777" w:rsidR="00A62412" w:rsidRDefault="00A62412" w:rsidP="00A62412">
      <w:pPr>
        <w:spacing w:after="0" w:line="240" w:lineRule="auto"/>
      </w:pPr>
      <w:r>
        <w:separator/>
      </w:r>
    </w:p>
  </w:footnote>
  <w:footnote w:type="continuationSeparator" w:id="0">
    <w:p w14:paraId="1E27C84A" w14:textId="77777777" w:rsidR="00A62412" w:rsidRDefault="00A62412" w:rsidP="00A62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DA87" w14:textId="77777777" w:rsidR="005E0F90" w:rsidRDefault="005E0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54099"/>
      <w:docPartObj>
        <w:docPartGallery w:val="Watermarks"/>
        <w:docPartUnique/>
      </w:docPartObj>
    </w:sdtPr>
    <w:sdtContent>
      <w:p w14:paraId="0224EB04" w14:textId="2C1054BE" w:rsidR="005E0F90" w:rsidRDefault="005E0F90">
        <w:pPr>
          <w:pStyle w:val="Header"/>
        </w:pPr>
        <w:r>
          <w:rPr>
            <w:noProof/>
          </w:rPr>
          <w:pict w14:anchorId="38FA7D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C539" w14:textId="77777777" w:rsidR="005E0F90" w:rsidRDefault="005E0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C44"/>
    <w:multiLevelType w:val="hybridMultilevel"/>
    <w:tmpl w:val="46A81926"/>
    <w:lvl w:ilvl="0" w:tplc="2BA48E7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2D106E7"/>
    <w:multiLevelType w:val="hybridMultilevel"/>
    <w:tmpl w:val="FF38BCFE"/>
    <w:lvl w:ilvl="0" w:tplc="7B3AEAD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0E4F29"/>
    <w:multiLevelType w:val="hybridMultilevel"/>
    <w:tmpl w:val="C6AE76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0842E7"/>
    <w:multiLevelType w:val="hybridMultilevel"/>
    <w:tmpl w:val="99FCC4FE"/>
    <w:lvl w:ilvl="0" w:tplc="963E555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6F50E7"/>
    <w:multiLevelType w:val="hybridMultilevel"/>
    <w:tmpl w:val="CC8492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247A82"/>
    <w:multiLevelType w:val="hybridMultilevel"/>
    <w:tmpl w:val="17A6A1E6"/>
    <w:lvl w:ilvl="0" w:tplc="A4BC50F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6424DE"/>
    <w:multiLevelType w:val="hybridMultilevel"/>
    <w:tmpl w:val="B2027EAA"/>
    <w:lvl w:ilvl="0" w:tplc="AEA45D68">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421F13"/>
    <w:multiLevelType w:val="hybridMultilevel"/>
    <w:tmpl w:val="A85445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D626F1"/>
    <w:multiLevelType w:val="hybridMultilevel"/>
    <w:tmpl w:val="C80AC9CC"/>
    <w:lvl w:ilvl="0" w:tplc="7B9A2CC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0562C2"/>
    <w:multiLevelType w:val="hybridMultilevel"/>
    <w:tmpl w:val="C8A858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020D67"/>
    <w:multiLevelType w:val="hybridMultilevel"/>
    <w:tmpl w:val="665082A4"/>
    <w:lvl w:ilvl="0" w:tplc="322C334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E64E7F"/>
    <w:multiLevelType w:val="hybridMultilevel"/>
    <w:tmpl w:val="D12C2512"/>
    <w:lvl w:ilvl="0" w:tplc="E6F281F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BE3FB3"/>
    <w:multiLevelType w:val="hybridMultilevel"/>
    <w:tmpl w:val="0C44CF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6"/>
  </w:num>
  <w:num w:numId="5">
    <w:abstractNumId w:val="8"/>
  </w:num>
  <w:num w:numId="6">
    <w:abstractNumId w:val="5"/>
  </w:num>
  <w:num w:numId="7">
    <w:abstractNumId w:val="1"/>
  </w:num>
  <w:num w:numId="8">
    <w:abstractNumId w:val="11"/>
  </w:num>
  <w:num w:numId="9">
    <w:abstractNumId w:val="10"/>
  </w:num>
  <w:num w:numId="10">
    <w:abstractNumId w:val="2"/>
  </w:num>
  <w:num w:numId="11">
    <w:abstractNumId w:val="9"/>
  </w:num>
  <w:num w:numId="12">
    <w:abstractNumId w:val="7"/>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die Kurpershoek">
    <w15:presenceInfo w15:providerId="AD" w15:userId="S::jo.kurpershoek@fba.org.au::a70919fd-890b-4dd8-b677-04b365a698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4D7"/>
    <w:rsid w:val="00052A88"/>
    <w:rsid w:val="000655E6"/>
    <w:rsid w:val="000A3C13"/>
    <w:rsid w:val="0011351D"/>
    <w:rsid w:val="00142B3F"/>
    <w:rsid w:val="0015154F"/>
    <w:rsid w:val="001A69EE"/>
    <w:rsid w:val="001E39E1"/>
    <w:rsid w:val="0026163C"/>
    <w:rsid w:val="002640C9"/>
    <w:rsid w:val="00314533"/>
    <w:rsid w:val="00331F5C"/>
    <w:rsid w:val="00340309"/>
    <w:rsid w:val="003545E3"/>
    <w:rsid w:val="0036085B"/>
    <w:rsid w:val="003F47A7"/>
    <w:rsid w:val="0041781E"/>
    <w:rsid w:val="004518BC"/>
    <w:rsid w:val="004A5718"/>
    <w:rsid w:val="004A665E"/>
    <w:rsid w:val="004B60FF"/>
    <w:rsid w:val="004F2A5A"/>
    <w:rsid w:val="0050191C"/>
    <w:rsid w:val="00540F3E"/>
    <w:rsid w:val="0058078F"/>
    <w:rsid w:val="00583924"/>
    <w:rsid w:val="005A1DB2"/>
    <w:rsid w:val="005B2859"/>
    <w:rsid w:val="005B30F1"/>
    <w:rsid w:val="005C2029"/>
    <w:rsid w:val="005C4E8A"/>
    <w:rsid w:val="005C7E71"/>
    <w:rsid w:val="005E0F90"/>
    <w:rsid w:val="00623660"/>
    <w:rsid w:val="006251D0"/>
    <w:rsid w:val="00651AFF"/>
    <w:rsid w:val="006C594E"/>
    <w:rsid w:val="006D7A79"/>
    <w:rsid w:val="006E4A3E"/>
    <w:rsid w:val="006F2AFE"/>
    <w:rsid w:val="00785AC6"/>
    <w:rsid w:val="007A5196"/>
    <w:rsid w:val="007C2BFE"/>
    <w:rsid w:val="007D3673"/>
    <w:rsid w:val="007E2DF4"/>
    <w:rsid w:val="007F5411"/>
    <w:rsid w:val="00815D89"/>
    <w:rsid w:val="00851759"/>
    <w:rsid w:val="00894ACE"/>
    <w:rsid w:val="008A0718"/>
    <w:rsid w:val="008F73B4"/>
    <w:rsid w:val="008F73FA"/>
    <w:rsid w:val="009104A0"/>
    <w:rsid w:val="00910A65"/>
    <w:rsid w:val="00925B4C"/>
    <w:rsid w:val="0094207C"/>
    <w:rsid w:val="009A1B30"/>
    <w:rsid w:val="009B126C"/>
    <w:rsid w:val="009E093C"/>
    <w:rsid w:val="009F24D7"/>
    <w:rsid w:val="009F3305"/>
    <w:rsid w:val="00A4226C"/>
    <w:rsid w:val="00A55266"/>
    <w:rsid w:val="00A55A4B"/>
    <w:rsid w:val="00A57D71"/>
    <w:rsid w:val="00A62412"/>
    <w:rsid w:val="00A71197"/>
    <w:rsid w:val="00A807E2"/>
    <w:rsid w:val="00AB5F61"/>
    <w:rsid w:val="00AC169D"/>
    <w:rsid w:val="00B32547"/>
    <w:rsid w:val="00B746A3"/>
    <w:rsid w:val="00BC183F"/>
    <w:rsid w:val="00C11B22"/>
    <w:rsid w:val="00CE3B3C"/>
    <w:rsid w:val="00D1021D"/>
    <w:rsid w:val="00DD1B68"/>
    <w:rsid w:val="00DF0405"/>
    <w:rsid w:val="00DF205D"/>
    <w:rsid w:val="00DF7C8F"/>
    <w:rsid w:val="00E50BC4"/>
    <w:rsid w:val="00E565BC"/>
    <w:rsid w:val="00EB0B1B"/>
    <w:rsid w:val="00ED4A1A"/>
    <w:rsid w:val="00F12A5A"/>
    <w:rsid w:val="00F31DDC"/>
    <w:rsid w:val="00F40654"/>
    <w:rsid w:val="00F646D6"/>
    <w:rsid w:val="00F7762E"/>
    <w:rsid w:val="00FE4683"/>
    <w:rsid w:val="00FE4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D3A4B1"/>
  <w15:chartTrackingRefBased/>
  <w15:docId w15:val="{760FF406-323C-453E-9027-77842D69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F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1F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40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4D7"/>
    <w:pPr>
      <w:ind w:left="720"/>
      <w:contextualSpacing/>
    </w:pPr>
  </w:style>
  <w:style w:type="table" w:styleId="TableGrid">
    <w:name w:val="Table Grid"/>
    <w:basedOn w:val="TableNormal"/>
    <w:uiPriority w:val="39"/>
    <w:rsid w:val="00D10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1F5C"/>
    <w:rPr>
      <w:color w:val="0000FF"/>
      <w:u w:val="single"/>
    </w:rPr>
  </w:style>
  <w:style w:type="character" w:customStyle="1" w:styleId="Heading1Char">
    <w:name w:val="Heading 1 Char"/>
    <w:basedOn w:val="DefaultParagraphFont"/>
    <w:link w:val="Heading1"/>
    <w:uiPriority w:val="9"/>
    <w:rsid w:val="00331F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1F5C"/>
    <w:rPr>
      <w:rFonts w:asciiTheme="majorHAnsi" w:eastAsiaTheme="majorEastAsia" w:hAnsiTheme="majorHAnsi" w:cstheme="majorBidi"/>
      <w:color w:val="2F5496" w:themeColor="accent1" w:themeShade="BF"/>
      <w:sz w:val="26"/>
      <w:szCs w:val="26"/>
    </w:rPr>
  </w:style>
  <w:style w:type="paragraph" w:customStyle="1" w:styleId="Default">
    <w:name w:val="Default"/>
    <w:rsid w:val="00925B4C"/>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F40654"/>
    <w:rPr>
      <w:sz w:val="16"/>
      <w:szCs w:val="16"/>
    </w:rPr>
  </w:style>
  <w:style w:type="paragraph" w:styleId="CommentText">
    <w:name w:val="annotation text"/>
    <w:basedOn w:val="Normal"/>
    <w:link w:val="CommentTextChar"/>
    <w:uiPriority w:val="99"/>
    <w:unhideWhenUsed/>
    <w:rsid w:val="00F40654"/>
    <w:pPr>
      <w:spacing w:line="240" w:lineRule="auto"/>
    </w:pPr>
    <w:rPr>
      <w:sz w:val="20"/>
      <w:szCs w:val="20"/>
    </w:rPr>
  </w:style>
  <w:style w:type="character" w:customStyle="1" w:styleId="CommentTextChar">
    <w:name w:val="Comment Text Char"/>
    <w:basedOn w:val="DefaultParagraphFont"/>
    <w:link w:val="CommentText"/>
    <w:uiPriority w:val="99"/>
    <w:rsid w:val="00F40654"/>
    <w:rPr>
      <w:sz w:val="20"/>
      <w:szCs w:val="20"/>
    </w:rPr>
  </w:style>
  <w:style w:type="paragraph" w:styleId="CommentSubject">
    <w:name w:val="annotation subject"/>
    <w:basedOn w:val="CommentText"/>
    <w:next w:val="CommentText"/>
    <w:link w:val="CommentSubjectChar"/>
    <w:uiPriority w:val="99"/>
    <w:semiHidden/>
    <w:unhideWhenUsed/>
    <w:rsid w:val="00F40654"/>
    <w:rPr>
      <w:b/>
      <w:bCs/>
    </w:rPr>
  </w:style>
  <w:style w:type="character" w:customStyle="1" w:styleId="CommentSubjectChar">
    <w:name w:val="Comment Subject Char"/>
    <w:basedOn w:val="CommentTextChar"/>
    <w:link w:val="CommentSubject"/>
    <w:uiPriority w:val="99"/>
    <w:semiHidden/>
    <w:rsid w:val="00F40654"/>
    <w:rPr>
      <w:b/>
      <w:bCs/>
      <w:sz w:val="20"/>
      <w:szCs w:val="20"/>
    </w:rPr>
  </w:style>
  <w:style w:type="character" w:customStyle="1" w:styleId="Heading3Char">
    <w:name w:val="Heading 3 Char"/>
    <w:basedOn w:val="DefaultParagraphFont"/>
    <w:link w:val="Heading3"/>
    <w:uiPriority w:val="9"/>
    <w:rsid w:val="002640C9"/>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B5F61"/>
    <w:rPr>
      <w:color w:val="605E5C"/>
      <w:shd w:val="clear" w:color="auto" w:fill="E1DFDD"/>
    </w:rPr>
  </w:style>
  <w:style w:type="paragraph" w:styleId="Header">
    <w:name w:val="header"/>
    <w:basedOn w:val="Normal"/>
    <w:link w:val="HeaderChar"/>
    <w:uiPriority w:val="99"/>
    <w:unhideWhenUsed/>
    <w:rsid w:val="00A62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412"/>
  </w:style>
  <w:style w:type="paragraph" w:styleId="Footer">
    <w:name w:val="footer"/>
    <w:basedOn w:val="Normal"/>
    <w:link w:val="FooterChar"/>
    <w:uiPriority w:val="99"/>
    <w:unhideWhenUsed/>
    <w:rsid w:val="00A62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ba.org.au/contact-us/" TargetMode="External"/><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tel:(07)%204999%202807"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ba.org.au/contact-us/" TargetMode="External"/><Relationship Id="rId14" Type="http://schemas.openxmlformats.org/officeDocument/2006/relationships/hyperlink" Target="https://www.fba.org.au/contact-us/" TargetMode="External"/><Relationship Id="rId22" Type="http://schemas.openxmlformats.org/officeDocument/2006/relationships/hyperlink" Target="tel:0438%20965%2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F8A02-839D-4706-A926-14D64E6F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3577</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Kurpershoek</dc:creator>
  <cp:keywords/>
  <dc:description/>
  <cp:lastModifiedBy>Jodie Kurpershoek</cp:lastModifiedBy>
  <cp:revision>4</cp:revision>
  <dcterms:created xsi:type="dcterms:W3CDTF">2021-09-08T00:45:00Z</dcterms:created>
  <dcterms:modified xsi:type="dcterms:W3CDTF">2021-09-08T00:46:00Z</dcterms:modified>
</cp:coreProperties>
</file>